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652C7" w14:textId="77777777" w:rsidR="00E04ABC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C39F8B4" wp14:editId="7436DCC4">
            <wp:extent cx="3783275" cy="3738635"/>
            <wp:effectExtent l="19050" t="0" r="27305" b="10623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fi_logo_manual.png"/>
                    <pic:cNvPicPr/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1624" cy="374688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22029408" w14:textId="77777777" w:rsidR="00E04ABC" w:rsidRDefault="00E04ABC">
      <w:pPr>
        <w:rPr>
          <w:rFonts w:hint="eastAsia"/>
        </w:rPr>
      </w:pPr>
    </w:p>
    <w:p w14:paraId="57F5B46C" w14:textId="77777777" w:rsidR="00E04ABC" w:rsidRPr="009203B2" w:rsidRDefault="00000000">
      <w:pPr>
        <w:jc w:val="center"/>
        <w:rPr>
          <w:rFonts w:hint="eastAsia"/>
          <w:lang w:val="es-MX"/>
        </w:rPr>
      </w:pPr>
      <w:r w:rsidRPr="009203B2">
        <w:rPr>
          <w:b/>
          <w:color w:val="64748B"/>
          <w:sz w:val="26"/>
          <w:lang w:val="es-MX"/>
        </w:rPr>
        <w:t>MANUAL DE USUARIO</w:t>
      </w:r>
    </w:p>
    <w:p w14:paraId="081771F3" w14:textId="77777777" w:rsidR="00E04ABC" w:rsidRPr="009203B2" w:rsidRDefault="00000000">
      <w:pPr>
        <w:pStyle w:val="Ttulo"/>
        <w:jc w:val="center"/>
        <w:rPr>
          <w:lang w:val="es-MX"/>
        </w:rPr>
      </w:pPr>
      <w:r w:rsidRPr="009203B2">
        <w:rPr>
          <w:lang w:val="es-MX"/>
        </w:rPr>
        <w:t>Guía completa</w:t>
      </w:r>
      <w:r w:rsidRPr="009203B2">
        <w:rPr>
          <w:lang w:val="es-MX"/>
        </w:rPr>
        <w:br/>
        <w:t>para el uso de TAFI 5</w:t>
      </w:r>
    </w:p>
    <w:p w14:paraId="067B1B2C" w14:textId="77777777" w:rsidR="00E04ABC" w:rsidRPr="009203B2" w:rsidRDefault="00000000">
      <w:pPr>
        <w:jc w:val="center"/>
        <w:rPr>
          <w:rFonts w:hint="eastAsia"/>
          <w:lang w:val="es-MX"/>
        </w:rPr>
      </w:pPr>
      <w:r w:rsidRPr="009203B2">
        <w:rPr>
          <w:color w:val="64748B"/>
          <w:sz w:val="24"/>
          <w:lang w:val="es-MX"/>
        </w:rPr>
        <w:t>Facturación electrónica, ventas, cobranza, recepción de CFDI, control fiscal, reportes y documentos empresariales.</w:t>
      </w:r>
    </w:p>
    <w:p w14:paraId="3BCE1AAF" w14:textId="77777777" w:rsidR="00E04ABC" w:rsidRPr="009203B2" w:rsidRDefault="00E04ABC">
      <w:pPr>
        <w:rPr>
          <w:rFonts w:hint="eastAsia"/>
          <w:lang w:val="es-MX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54"/>
      </w:tblGrid>
      <w:tr w:rsidR="00E04ABC" w14:paraId="4B0DAF32" w14:textId="77777777">
        <w:tc>
          <w:tcPr>
            <w:tcW w:w="10454" w:type="dxa"/>
            <w:shd w:val="clear" w:color="auto" w:fill="0D1B2A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CE29226" w14:textId="77777777" w:rsidR="00E04ABC" w:rsidRDefault="00000000">
            <w:pPr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FFFFFF"/>
              </w:rPr>
              <w:t>Versión</w:t>
            </w:r>
            <w:proofErr w:type="spellEnd"/>
            <w:r>
              <w:rPr>
                <w:b/>
                <w:color w:val="FFFFFF"/>
              </w:rPr>
              <w:t xml:space="preserve"> 5.0  •  </w:t>
            </w:r>
            <w:proofErr w:type="spellStart"/>
            <w:r>
              <w:rPr>
                <w:b/>
                <w:color w:val="FFFFFF"/>
              </w:rPr>
              <w:t>Septiembre</w:t>
            </w:r>
            <w:proofErr w:type="spellEnd"/>
            <w:r>
              <w:rPr>
                <w:b/>
                <w:color w:val="FFFFFF"/>
              </w:rPr>
              <w:t xml:space="preserve"> 2026</w:t>
            </w:r>
          </w:p>
        </w:tc>
      </w:tr>
    </w:tbl>
    <w:p w14:paraId="6706E083" w14:textId="77777777" w:rsidR="00E04ABC" w:rsidRDefault="00E04ABC">
      <w:pPr>
        <w:rPr>
          <w:rFonts w:hint="eastAsia"/>
        </w:rPr>
      </w:pPr>
    </w:p>
    <w:p w14:paraId="0DDFE925" w14:textId="77777777" w:rsidR="00E04ABC" w:rsidRDefault="00000000">
      <w:pPr>
        <w:jc w:val="center"/>
        <w:rPr>
          <w:rFonts w:hint="eastAsia"/>
        </w:rPr>
      </w:pPr>
      <w:r>
        <w:rPr>
          <w:color w:val="1E3A8A"/>
          <w:sz w:val="16"/>
        </w:rPr>
        <w:t>TECNOLOGÍA   •   PRECISIÓN   •   CONFIANZA   •   FUTURO</w:t>
      </w:r>
    </w:p>
    <w:p w14:paraId="61FFE4F7" w14:textId="4CEF4FC9" w:rsidR="00E04ABC" w:rsidRDefault="00E04ABC">
      <w:pPr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3719AA08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FBE3C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1C9DA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6E9CB5B7" w14:textId="77777777" w:rsidR="00E04ABC" w:rsidRDefault="00E04ABC">
      <w:pPr>
        <w:spacing w:after="0"/>
        <w:rPr>
          <w:rFonts w:hint="eastAsia"/>
        </w:rPr>
      </w:pPr>
    </w:p>
    <w:p w14:paraId="0CF43242" w14:textId="77777777" w:rsidR="00E04ABC" w:rsidRDefault="00000000">
      <w:pPr>
        <w:pStyle w:val="Ttulo1"/>
      </w:pPr>
      <w:r>
        <w:lastRenderedPageBreak/>
        <w:t>Índice</w:t>
      </w:r>
    </w:p>
    <w:p w14:paraId="0F38BC5C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Contenido orientado al usuario final de TAFI 5.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14:paraId="7BC25513" w14:textId="77777777" w:rsidTr="009203B2">
        <w:tc>
          <w:tcPr>
            <w:tcW w:w="675" w:type="dxa"/>
            <w:shd w:val="clear" w:color="auto" w:fill="00B4FF"/>
          </w:tcPr>
          <w:p w14:paraId="0E9ED99C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F0EF462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Introducción y alcance</w:t>
            </w:r>
          </w:p>
        </w:tc>
      </w:tr>
      <w:tr w:rsidR="00E04ABC" w14:paraId="055001F2" w14:textId="77777777" w:rsidTr="009203B2">
        <w:tc>
          <w:tcPr>
            <w:tcW w:w="675" w:type="dxa"/>
            <w:shd w:val="clear" w:color="auto" w:fill="00B4FF"/>
          </w:tcPr>
          <w:p w14:paraId="6946B54F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8A677D5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Acceso al sistema</w:t>
            </w:r>
          </w:p>
        </w:tc>
      </w:tr>
      <w:tr w:rsidR="00E04ABC" w14:paraId="0AEC315C" w14:textId="77777777" w:rsidTr="009203B2">
        <w:tc>
          <w:tcPr>
            <w:tcW w:w="675" w:type="dxa"/>
            <w:shd w:val="clear" w:color="auto" w:fill="00B4FF"/>
          </w:tcPr>
          <w:p w14:paraId="6967530A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E99454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Vista general y navegación</w:t>
            </w:r>
          </w:p>
        </w:tc>
      </w:tr>
      <w:tr w:rsidR="00E04ABC" w14:paraId="7CC5D143" w14:textId="77777777" w:rsidTr="009203B2">
        <w:tc>
          <w:tcPr>
            <w:tcW w:w="675" w:type="dxa"/>
            <w:shd w:val="clear" w:color="auto" w:fill="00B4FF"/>
          </w:tcPr>
          <w:p w14:paraId="222E5DE8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7D54BB2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Dashboard</w:t>
            </w:r>
          </w:p>
        </w:tc>
      </w:tr>
      <w:tr w:rsidR="00E04ABC" w14:paraId="2379EED4" w14:textId="77777777" w:rsidTr="009203B2">
        <w:tc>
          <w:tcPr>
            <w:tcW w:w="675" w:type="dxa"/>
            <w:shd w:val="clear" w:color="auto" w:fill="00B4FF"/>
          </w:tcPr>
          <w:p w14:paraId="4BFA033B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5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15ACD11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Facturas emitidas</w:t>
            </w:r>
          </w:p>
        </w:tc>
      </w:tr>
      <w:tr w:rsidR="00E04ABC" w14:paraId="75FBD176" w14:textId="77777777" w:rsidTr="009203B2">
        <w:tc>
          <w:tcPr>
            <w:tcW w:w="675" w:type="dxa"/>
            <w:shd w:val="clear" w:color="auto" w:fill="00B4FF"/>
          </w:tcPr>
          <w:p w14:paraId="17CBF2D7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6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62FE1F3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Nueva factura</w:t>
            </w:r>
          </w:p>
        </w:tc>
      </w:tr>
      <w:tr w:rsidR="00E04ABC" w14:paraId="27212FF8" w14:textId="77777777" w:rsidTr="009203B2">
        <w:tc>
          <w:tcPr>
            <w:tcW w:w="675" w:type="dxa"/>
            <w:shd w:val="clear" w:color="auto" w:fill="00B4FF"/>
          </w:tcPr>
          <w:p w14:paraId="589F7FD2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7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9F7811D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Cotizaciones</w:t>
            </w:r>
          </w:p>
        </w:tc>
      </w:tr>
      <w:tr w:rsidR="00E04ABC" w14:paraId="112EA477" w14:textId="77777777" w:rsidTr="009203B2">
        <w:tc>
          <w:tcPr>
            <w:tcW w:w="675" w:type="dxa"/>
            <w:shd w:val="clear" w:color="auto" w:fill="00B4FF"/>
          </w:tcPr>
          <w:p w14:paraId="3F3A0F71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8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16F2D6E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Remisiones</w:t>
            </w:r>
          </w:p>
        </w:tc>
      </w:tr>
      <w:tr w:rsidR="00E04ABC" w14:paraId="0C7A91A0" w14:textId="77777777" w:rsidTr="009203B2">
        <w:tc>
          <w:tcPr>
            <w:tcW w:w="675" w:type="dxa"/>
            <w:shd w:val="clear" w:color="auto" w:fill="00B4FF"/>
          </w:tcPr>
          <w:p w14:paraId="456811FE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9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4870FEB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Lista de precios</w:t>
            </w:r>
          </w:p>
        </w:tc>
      </w:tr>
      <w:tr w:rsidR="00E04ABC" w14:paraId="1ABA14F4" w14:textId="77777777" w:rsidTr="009203B2">
        <w:tc>
          <w:tcPr>
            <w:tcW w:w="675" w:type="dxa"/>
            <w:shd w:val="clear" w:color="auto" w:fill="00B4FF"/>
          </w:tcPr>
          <w:p w14:paraId="55316624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10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2843B3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Cobranza y CxC</w:t>
            </w:r>
          </w:p>
        </w:tc>
      </w:tr>
      <w:tr w:rsidR="00E04ABC" w14:paraId="36C62D3E" w14:textId="77777777" w:rsidTr="009203B2">
        <w:tc>
          <w:tcPr>
            <w:tcW w:w="675" w:type="dxa"/>
            <w:shd w:val="clear" w:color="auto" w:fill="00B4FF"/>
          </w:tcPr>
          <w:p w14:paraId="6FC28FD5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11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614CB41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Facturas recibidas (CxP)</w:t>
            </w:r>
          </w:p>
        </w:tc>
      </w:tr>
      <w:tr w:rsidR="00E04ABC" w14:paraId="773F3C6B" w14:textId="77777777" w:rsidTr="009203B2">
        <w:tc>
          <w:tcPr>
            <w:tcW w:w="675" w:type="dxa"/>
            <w:shd w:val="clear" w:color="auto" w:fill="00B4FF"/>
          </w:tcPr>
          <w:p w14:paraId="6BC278F0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12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EA69217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Conectores de correo</w:t>
            </w:r>
          </w:p>
        </w:tc>
      </w:tr>
      <w:tr w:rsidR="00E04ABC" w14:paraId="1A70F492" w14:textId="77777777" w:rsidTr="009203B2">
        <w:tc>
          <w:tcPr>
            <w:tcW w:w="675" w:type="dxa"/>
            <w:shd w:val="clear" w:color="auto" w:fill="00B4FF"/>
          </w:tcPr>
          <w:p w14:paraId="4FFDBA53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13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3E1D9E4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Sincronización SAT</w:t>
            </w:r>
          </w:p>
        </w:tc>
      </w:tr>
      <w:tr w:rsidR="00E04ABC" w14:paraId="10648CBD" w14:textId="77777777" w:rsidTr="009203B2">
        <w:tc>
          <w:tcPr>
            <w:tcW w:w="675" w:type="dxa"/>
            <w:shd w:val="clear" w:color="auto" w:fill="00B4FF"/>
          </w:tcPr>
          <w:p w14:paraId="7A63385D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14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B7631E2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Clientes</w:t>
            </w:r>
          </w:p>
        </w:tc>
      </w:tr>
      <w:tr w:rsidR="00E04ABC" w14:paraId="65A3B178" w14:textId="77777777" w:rsidTr="009203B2">
        <w:tc>
          <w:tcPr>
            <w:tcW w:w="675" w:type="dxa"/>
            <w:shd w:val="clear" w:color="auto" w:fill="00B4FF"/>
          </w:tcPr>
          <w:p w14:paraId="7C77D5C5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15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C50DFBA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Centro contable y reportes</w:t>
            </w:r>
          </w:p>
        </w:tc>
      </w:tr>
      <w:tr w:rsidR="00E04ABC" w14:paraId="1297340D" w14:textId="77777777" w:rsidTr="009203B2">
        <w:tc>
          <w:tcPr>
            <w:tcW w:w="675" w:type="dxa"/>
            <w:shd w:val="clear" w:color="auto" w:fill="00B4FF"/>
          </w:tcPr>
          <w:p w14:paraId="53DC2CB2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16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0AB9C47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Editor de documentos</w:t>
            </w:r>
          </w:p>
        </w:tc>
      </w:tr>
      <w:tr w:rsidR="00E04ABC" w14:paraId="7E9D27F2" w14:textId="77777777" w:rsidTr="009203B2">
        <w:tc>
          <w:tcPr>
            <w:tcW w:w="675" w:type="dxa"/>
            <w:shd w:val="clear" w:color="auto" w:fill="00B4FF"/>
          </w:tcPr>
          <w:p w14:paraId="4DB48B8C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17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25A55E0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Configuración</w:t>
            </w:r>
          </w:p>
        </w:tc>
      </w:tr>
      <w:tr w:rsidR="00E04ABC" w14:paraId="5BDDCE5A" w14:textId="77777777" w:rsidTr="009203B2">
        <w:tc>
          <w:tcPr>
            <w:tcW w:w="675" w:type="dxa"/>
            <w:shd w:val="clear" w:color="auto" w:fill="00B4FF"/>
          </w:tcPr>
          <w:p w14:paraId="6E126A3E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18</w:t>
            </w:r>
          </w:p>
        </w:tc>
        <w:tc>
          <w:tcPr>
            <w:tcW w:w="9779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382CC20" w14:textId="77777777" w:rsidR="00E04ABC" w:rsidRDefault="00000000">
            <w:pPr>
              <w:rPr>
                <w:rFonts w:hint="eastAsia"/>
              </w:rPr>
            </w:pPr>
            <w:r>
              <w:rPr>
                <w:b/>
              </w:rPr>
              <w:t>Buenas prácticas y soporte</w:t>
            </w:r>
          </w:p>
        </w:tc>
      </w:tr>
    </w:tbl>
    <w:p w14:paraId="67422DA8" w14:textId="77777777" w:rsidR="00E04ABC" w:rsidRDefault="00000000">
      <w:pPr>
        <w:rPr>
          <w:rFonts w:hint="eastAsia"/>
        </w:rPr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5FA6D551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E7380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1DDCD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1E526815" w14:textId="77777777" w:rsidR="00E04ABC" w:rsidRDefault="00E04ABC">
      <w:pPr>
        <w:spacing w:after="0"/>
        <w:rPr>
          <w:rFonts w:hint="eastAsia"/>
        </w:rPr>
      </w:pPr>
    </w:p>
    <w:p w14:paraId="5A6FB76F" w14:textId="77777777" w:rsidR="00E04ABC" w:rsidRDefault="00000000">
      <w:pPr>
        <w:pStyle w:val="Ttulo1"/>
      </w:pPr>
      <w:r>
        <w:t>1. Introducción</w:t>
      </w:r>
    </w:p>
    <w:p w14:paraId="0ADCF3F2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TAFI 5 centraliza los procesos cotidianos relacionados con CFDI y administración comercial.</w:t>
      </w:r>
    </w:p>
    <w:p w14:paraId="59873D7D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t>Este manual está dirigido a usuarios finales: personal administrativo, facturación, cobranza, compras, contabilidad y responsables de operación. Explica el uso funcional del sistema sin requerir conocimientos técnicos.</w:t>
      </w:r>
    </w:p>
    <w:p w14:paraId="344ED58E" w14:textId="5EEC8AE9" w:rsidR="00E04ABC" w:rsidRDefault="003A5F61">
      <w:pPr>
        <w:spacing w:after="140"/>
        <w:jc w:val="center"/>
        <w:rPr>
          <w:rFonts w:hint="eastAsia"/>
        </w:rPr>
      </w:pPr>
      <w:r w:rsidRPr="003A5F61">
        <w:drawing>
          <wp:inline distT="0" distB="0" distL="0" distR="0" wp14:anchorId="3399EA3B" wp14:editId="62DA4C21">
            <wp:extent cx="5893165" cy="2637662"/>
            <wp:effectExtent l="133350" t="114300" r="127000" b="163195"/>
            <wp:docPr id="7456700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67004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6859" cy="2643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F6366B3" w14:textId="77777777" w:rsidR="00E04ABC" w:rsidRDefault="00000000">
      <w:pPr>
        <w:pStyle w:val="Ttulo2"/>
      </w:pPr>
      <w:r>
        <w:t>Con TAFI 5 puedes:</w:t>
      </w:r>
    </w:p>
    <w:p w14:paraId="3367D11F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>Emitir y consultar CFDI 4.0.</w:t>
      </w:r>
    </w:p>
    <w:p w14:paraId="30CE61E9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Gestionar cotizaciones, remisiones y listas de precios.</w:t>
      </w:r>
    </w:p>
    <w:p w14:paraId="788F04B4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Dar seguimiento a cuentas por cobrar y pagos.</w:t>
      </w:r>
    </w:p>
    <w:p w14:paraId="21B45E29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Recibir CFDI desde correo, SAT, XML o carpetas.</w:t>
      </w:r>
    </w:p>
    <w:p w14:paraId="1F8D0C9C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Consultar información fiscal y contable.</w:t>
      </w:r>
    </w:p>
    <w:p w14:paraId="01297B9E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proofErr w:type="spellStart"/>
      <w:r>
        <w:t>Generar</w:t>
      </w:r>
      <w:proofErr w:type="spellEnd"/>
      <w:r>
        <w:t xml:space="preserve"> </w:t>
      </w:r>
      <w:proofErr w:type="spellStart"/>
      <w:r>
        <w:t>reportes</w:t>
      </w:r>
      <w:proofErr w:type="spellEnd"/>
      <w:r>
        <w:t xml:space="preserve"> </w:t>
      </w:r>
      <w:proofErr w:type="spellStart"/>
      <w:r>
        <w:t>descargables</w:t>
      </w:r>
      <w:proofErr w:type="spellEnd"/>
      <w:r>
        <w:t>.</w:t>
      </w:r>
    </w:p>
    <w:p w14:paraId="2F77FFB1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Crear y editar documentos empresariales.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E04ABC" w:rsidRPr="009203B2" w14:paraId="6B8816DD" w14:textId="77777777">
        <w:trPr>
          <w:jc w:val="center"/>
        </w:trPr>
        <w:tc>
          <w:tcPr>
            <w:tcW w:w="10454" w:type="dxa"/>
            <w:shd w:val="clear" w:color="auto" w:fill="E8F5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998F1FC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b/>
                <w:color w:val="1E3A8A"/>
                <w:lang w:val="es-MX"/>
              </w:rPr>
              <w:t xml:space="preserve">Importante  </w:t>
            </w:r>
            <w:r w:rsidRPr="009203B2">
              <w:rPr>
                <w:lang w:val="es-MX"/>
              </w:rPr>
              <w:t>Las opciones visibles pueden variar según la configuración, el RFC activo y los permisos asignados.</w:t>
            </w:r>
          </w:p>
        </w:tc>
      </w:tr>
    </w:tbl>
    <w:p w14:paraId="5EE21B53" w14:textId="77777777" w:rsidR="00E04ABC" w:rsidRPr="009203B2" w:rsidRDefault="00E04ABC">
      <w:pPr>
        <w:spacing w:after="0"/>
        <w:rPr>
          <w:rFonts w:hint="eastAsia"/>
          <w:lang w:val="es-MX"/>
        </w:rPr>
      </w:pPr>
    </w:p>
    <w:p w14:paraId="233F2B20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716CF9A1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63AA6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4CBD7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7CB17F82" w14:textId="77777777" w:rsidR="00E04ABC" w:rsidRDefault="00E04ABC">
      <w:pPr>
        <w:spacing w:after="0"/>
        <w:rPr>
          <w:rFonts w:hint="eastAsia"/>
        </w:rPr>
      </w:pPr>
    </w:p>
    <w:p w14:paraId="40759F54" w14:textId="77777777" w:rsidR="00E04ABC" w:rsidRDefault="00000000">
      <w:pPr>
        <w:pStyle w:val="Ttulo1"/>
      </w:pPr>
      <w:r>
        <w:t>2. Acceso al sistema</w:t>
      </w:r>
    </w:p>
    <w:p w14:paraId="7B6E3227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Ingreso seguro a la empresa y RFC de trabajo.</w:t>
      </w:r>
    </w:p>
    <w:p w14:paraId="4D86FDCD" w14:textId="71A6A489" w:rsidR="00E04ABC" w:rsidRDefault="001B59BC">
      <w:pPr>
        <w:spacing w:after="140"/>
        <w:jc w:val="center"/>
        <w:rPr>
          <w:rFonts w:hint="eastAsia"/>
        </w:rPr>
      </w:pPr>
      <w:r w:rsidRPr="001B59BC">
        <w:drawing>
          <wp:inline distT="0" distB="0" distL="0" distR="0" wp14:anchorId="21030472" wp14:editId="39B58667">
            <wp:extent cx="4529817" cy="3383280"/>
            <wp:effectExtent l="133350" t="114300" r="118745" b="160020"/>
            <wp:docPr id="14548090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80902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34011" cy="33864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:rsidRPr="009203B2" w14:paraId="4F5536DE" w14:textId="77777777" w:rsidTr="009203B2">
        <w:tc>
          <w:tcPr>
            <w:tcW w:w="534" w:type="dxa"/>
            <w:shd w:val="clear" w:color="auto" w:fill="00B4FF"/>
            <w:vAlign w:val="center"/>
          </w:tcPr>
          <w:p w14:paraId="4EC37039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B510E0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Ejecuta TAFI 5 desde el acceso instalado en tu equipo.</w:t>
            </w:r>
          </w:p>
        </w:tc>
      </w:tr>
    </w:tbl>
    <w:p w14:paraId="1326C628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:rsidRPr="009203B2" w14:paraId="59ABFC32" w14:textId="77777777" w:rsidTr="009203B2">
        <w:tc>
          <w:tcPr>
            <w:tcW w:w="534" w:type="dxa"/>
            <w:shd w:val="clear" w:color="auto" w:fill="00B4FF"/>
            <w:vAlign w:val="center"/>
          </w:tcPr>
          <w:p w14:paraId="518CA866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252FEB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Captura las credenciales proporcionadas por el administrador.</w:t>
            </w:r>
          </w:p>
        </w:tc>
      </w:tr>
    </w:tbl>
    <w:p w14:paraId="35F7025A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:rsidRPr="009203B2" w14:paraId="76AE59BD" w14:textId="77777777" w:rsidTr="009203B2">
        <w:tc>
          <w:tcPr>
            <w:tcW w:w="534" w:type="dxa"/>
            <w:shd w:val="clear" w:color="auto" w:fill="00B4FF"/>
            <w:vAlign w:val="center"/>
          </w:tcPr>
          <w:p w14:paraId="6021F7A8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26D461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Inicia sesión y espera a que se cargue la información de la empresa.</w:t>
            </w:r>
          </w:p>
        </w:tc>
      </w:tr>
    </w:tbl>
    <w:p w14:paraId="19B592F6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:rsidRPr="009203B2" w14:paraId="60D9C258" w14:textId="77777777" w:rsidTr="009203B2">
        <w:tc>
          <w:tcPr>
            <w:tcW w:w="534" w:type="dxa"/>
            <w:shd w:val="clear" w:color="auto" w:fill="00B4FF"/>
            <w:vAlign w:val="center"/>
          </w:tcPr>
          <w:p w14:paraId="65D39F09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891AE7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Verifica el RFC activo antes de comenzar operaciones.</w:t>
            </w:r>
          </w:p>
        </w:tc>
      </w:tr>
    </w:tbl>
    <w:p w14:paraId="1D018D2E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E04ABC" w14:paraId="789A0A07" w14:textId="77777777">
        <w:trPr>
          <w:jc w:val="center"/>
        </w:trPr>
        <w:tc>
          <w:tcPr>
            <w:tcW w:w="10454" w:type="dxa"/>
            <w:shd w:val="clear" w:color="auto" w:fill="E8F5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91D4B5" w14:textId="77777777" w:rsidR="00E04ABC" w:rsidRDefault="00000000">
            <w:pPr>
              <w:rPr>
                <w:rFonts w:hint="eastAsia"/>
              </w:rPr>
            </w:pPr>
            <w:r w:rsidRPr="009203B2">
              <w:rPr>
                <w:b/>
                <w:color w:val="1E3A8A"/>
                <w:lang w:val="es-MX"/>
              </w:rPr>
              <w:t xml:space="preserve">Seguridad  </w:t>
            </w:r>
            <w:r w:rsidRPr="009203B2">
              <w:rPr>
                <w:lang w:val="es-MX"/>
              </w:rPr>
              <w:t xml:space="preserve">No compartas contraseñas, archivos de certificados ni credenciales de correo. </w:t>
            </w:r>
            <w:proofErr w:type="spellStart"/>
            <w:r>
              <w:t>Utiliza</w:t>
            </w:r>
            <w:proofErr w:type="spellEnd"/>
            <w:r>
              <w:t xml:space="preserve"> </w:t>
            </w:r>
            <w:proofErr w:type="spellStart"/>
            <w:r>
              <w:t>únicamente</w:t>
            </w:r>
            <w:proofErr w:type="spellEnd"/>
            <w:r>
              <w:t xml:space="preserve"> </w:t>
            </w:r>
            <w:proofErr w:type="spellStart"/>
            <w:r>
              <w:t>cuentas</w:t>
            </w:r>
            <w:proofErr w:type="spellEnd"/>
            <w:r>
              <w:t xml:space="preserve"> </w:t>
            </w:r>
            <w:proofErr w:type="spellStart"/>
            <w:r>
              <w:t>autorizadas</w:t>
            </w:r>
            <w:proofErr w:type="spellEnd"/>
            <w:r>
              <w:t xml:space="preserve"> por tu empresa.</w:t>
            </w:r>
          </w:p>
        </w:tc>
      </w:tr>
    </w:tbl>
    <w:p w14:paraId="487FAC6C" w14:textId="77777777" w:rsidR="00E04ABC" w:rsidRDefault="00E04ABC">
      <w:pPr>
        <w:spacing w:after="0"/>
        <w:rPr>
          <w:rFonts w:hint="eastAsia"/>
        </w:rPr>
      </w:pPr>
    </w:p>
    <w:p w14:paraId="65068B11" w14:textId="77777777" w:rsidR="00E04ABC" w:rsidRDefault="00000000">
      <w:pPr>
        <w:rPr>
          <w:rFonts w:hint="eastAsia"/>
        </w:rPr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01C6BD32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1F13A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0270C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4054E5BB" w14:textId="77777777" w:rsidR="00E04ABC" w:rsidRDefault="00E04ABC">
      <w:pPr>
        <w:spacing w:after="0"/>
        <w:rPr>
          <w:rFonts w:hint="eastAsia"/>
        </w:rPr>
      </w:pPr>
    </w:p>
    <w:p w14:paraId="13FE041D" w14:textId="77777777" w:rsidR="00E04ABC" w:rsidRDefault="00000000">
      <w:pPr>
        <w:pStyle w:val="Ttulo1"/>
      </w:pPr>
      <w:r>
        <w:t>3. Vista general y navegación</w:t>
      </w:r>
    </w:p>
    <w:p w14:paraId="12F09A77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El menú lateral organiza las funciones por proceso empresarial.</w:t>
      </w:r>
    </w:p>
    <w:p w14:paraId="3362771C" w14:textId="7F004CF6" w:rsidR="00E04ABC" w:rsidRDefault="00A6547C" w:rsidP="00A6547C">
      <w:pPr>
        <w:spacing w:after="140"/>
        <w:rPr>
          <w:rFonts w:hint="eastAsia"/>
        </w:rPr>
      </w:pPr>
      <w:r w:rsidRPr="00A6547C">
        <w:drawing>
          <wp:inline distT="0" distB="0" distL="0" distR="0" wp14:anchorId="499574A0" wp14:editId="57266ECE">
            <wp:extent cx="1637306" cy="4266002"/>
            <wp:effectExtent l="152400" t="114300" r="153670" b="153670"/>
            <wp:docPr id="2062520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520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3794" cy="43089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38049A2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 xml:space="preserve">INICIO: </w:t>
      </w:r>
      <w:proofErr w:type="spellStart"/>
      <w:r w:rsidRPr="009203B2">
        <w:rPr>
          <w:lang w:val="es-MX"/>
        </w:rPr>
        <w:t>dashboard</w:t>
      </w:r>
      <w:proofErr w:type="spellEnd"/>
      <w:r w:rsidRPr="009203B2">
        <w:rPr>
          <w:lang w:val="es-MX"/>
        </w:rPr>
        <w:t xml:space="preserve"> e información ejecutiva.</w:t>
      </w:r>
    </w:p>
    <w:p w14:paraId="4B95AB3C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VENTAS: facturas emitidas, nueva factura, cotizaciones, remisiones y lista de precios.</w:t>
      </w:r>
    </w:p>
    <w:p w14:paraId="47D6FF67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COBRANZA: cuentas por cobrar y seguimiento de pagos.</w:t>
      </w:r>
    </w:p>
    <w:p w14:paraId="1E10EDC2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FISCAL: herramientas relacionadas con CFDI y SAT.</w:t>
      </w:r>
    </w:p>
    <w:p w14:paraId="0A7DEF11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CLIENTES: padrón y datos fiscales.</w:t>
      </w:r>
    </w:p>
    <w:p w14:paraId="1C490C83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CONTADOR: centro contable, estadísticas y reportes.</w:t>
      </w:r>
    </w:p>
    <w:p w14:paraId="3971ACF2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 xml:space="preserve">DOCUMENTOS: editor </w:t>
      </w:r>
      <w:proofErr w:type="spellStart"/>
      <w:r>
        <w:t>empresarial</w:t>
      </w:r>
      <w:proofErr w:type="spellEnd"/>
      <w:r>
        <w:t xml:space="preserve"> </w:t>
      </w:r>
      <w:proofErr w:type="spellStart"/>
      <w:r>
        <w:t>independiente</w:t>
      </w:r>
      <w:proofErr w:type="spellEnd"/>
      <w:r>
        <w:t>.</w:t>
      </w:r>
    </w:p>
    <w:p w14:paraId="590491F6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CONFIGURACIÓN: parámetros del sistema y del RFC.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E04ABC" w:rsidRPr="009203B2" w14:paraId="4F58BDC8" w14:textId="77777777">
        <w:trPr>
          <w:jc w:val="center"/>
        </w:trPr>
        <w:tc>
          <w:tcPr>
            <w:tcW w:w="10454" w:type="dxa"/>
            <w:shd w:val="clear" w:color="auto" w:fill="E8F5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F60603D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b/>
                <w:color w:val="1E3A8A"/>
                <w:lang w:val="es-MX"/>
              </w:rPr>
              <w:t xml:space="preserve">Consejo  </w:t>
            </w:r>
            <w:r w:rsidRPr="009203B2">
              <w:rPr>
                <w:lang w:val="es-MX"/>
              </w:rPr>
              <w:t>Antes de capturar una operación, confirma que trabajas con el RFC correcto.</w:t>
            </w:r>
          </w:p>
        </w:tc>
      </w:tr>
    </w:tbl>
    <w:p w14:paraId="263AFDE4" w14:textId="04786E3A" w:rsidR="00E04ABC" w:rsidRPr="009203B2" w:rsidRDefault="00E04ABC">
      <w:pPr>
        <w:rPr>
          <w:rFonts w:hint="eastAsia"/>
          <w:lang w:val="es-MX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5DE5193C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ADA69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9CC08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3905F3D4" w14:textId="77777777" w:rsidR="00E04ABC" w:rsidRDefault="00E04ABC">
      <w:pPr>
        <w:spacing w:after="0"/>
        <w:rPr>
          <w:rFonts w:hint="eastAsia"/>
        </w:rPr>
      </w:pPr>
    </w:p>
    <w:p w14:paraId="3467EE79" w14:textId="77777777" w:rsidR="00E04ABC" w:rsidRDefault="00000000">
      <w:pPr>
        <w:pStyle w:val="Ttulo1"/>
      </w:pPr>
      <w:r>
        <w:lastRenderedPageBreak/>
        <w:t>4. Dashboard</w:t>
      </w:r>
    </w:p>
    <w:p w14:paraId="1234655C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Resumen ejecutivo del comportamiento fiscal y comercial.</w:t>
      </w:r>
    </w:p>
    <w:p w14:paraId="7F21463F" w14:textId="724BE87B" w:rsidR="00E04ABC" w:rsidRDefault="001B59BC">
      <w:pPr>
        <w:spacing w:after="140"/>
        <w:jc w:val="center"/>
        <w:rPr>
          <w:rFonts w:hint="eastAsia"/>
        </w:rPr>
      </w:pPr>
      <w:r w:rsidRPr="003A5F61">
        <w:drawing>
          <wp:inline distT="0" distB="0" distL="0" distR="0" wp14:anchorId="6522B922" wp14:editId="00253056">
            <wp:extent cx="5893165" cy="2637662"/>
            <wp:effectExtent l="133350" t="114300" r="127000" b="163195"/>
            <wp:docPr id="8097318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67004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6859" cy="26437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A90D832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t xml:space="preserve">Utiliza el </w:t>
      </w:r>
      <w:proofErr w:type="spellStart"/>
      <w:r w:rsidRPr="009203B2">
        <w:rPr>
          <w:lang w:val="es-MX"/>
        </w:rPr>
        <w:t>dashboard</w:t>
      </w:r>
      <w:proofErr w:type="spellEnd"/>
      <w:r w:rsidRPr="009203B2">
        <w:rPr>
          <w:lang w:val="es-MX"/>
        </w:rPr>
        <w:t xml:space="preserve"> para revisar rápidamente indicadores, periodos y tendencias. Los valores mostrados dependen de la información registrada para el RFC activo.</w:t>
      </w:r>
    </w:p>
    <w:p w14:paraId="61C2D300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Revisa los indicadores del periodo.</w:t>
      </w:r>
    </w:p>
    <w:p w14:paraId="0A2582DE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Utiliza los filtros disponibles para cambiar la consulta.</w:t>
      </w:r>
    </w:p>
    <w:p w14:paraId="5C1A2649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Consulta gráficas y tendencias antes de entrar al detalle operativo.</w:t>
      </w:r>
    </w:p>
    <w:p w14:paraId="723B9BBA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Actualiza la información cuando acabes de registrar operaciones importantes.</w:t>
      </w:r>
    </w:p>
    <w:p w14:paraId="73D22D45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4F57DB2C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FB643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00E78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78800F0F" w14:textId="77777777" w:rsidR="00E04ABC" w:rsidRDefault="00E04ABC">
      <w:pPr>
        <w:spacing w:after="0"/>
        <w:rPr>
          <w:rFonts w:hint="eastAsia"/>
        </w:rPr>
      </w:pPr>
    </w:p>
    <w:p w14:paraId="63CE97C0" w14:textId="77777777" w:rsidR="00E04ABC" w:rsidRDefault="00000000">
      <w:pPr>
        <w:pStyle w:val="Ttulo1"/>
      </w:pPr>
      <w:r>
        <w:t>5. Facturas emitidas</w:t>
      </w:r>
    </w:p>
    <w:p w14:paraId="07A090C6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Consulta, localiza y administra los CFDI generados.</w:t>
      </w:r>
    </w:p>
    <w:p w14:paraId="35DE9E3F" w14:textId="63643D03" w:rsidR="00E04ABC" w:rsidRDefault="00A87FE8">
      <w:pPr>
        <w:spacing w:after="140"/>
        <w:jc w:val="center"/>
        <w:rPr>
          <w:rFonts w:hint="eastAsia"/>
        </w:rPr>
      </w:pPr>
      <w:r w:rsidRPr="00A87FE8">
        <w:drawing>
          <wp:inline distT="0" distB="0" distL="0" distR="0" wp14:anchorId="17857B7A" wp14:editId="4AFE6A5A">
            <wp:extent cx="5356860" cy="2654859"/>
            <wp:effectExtent l="133350" t="114300" r="148590" b="165100"/>
            <wp:docPr id="12790321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03219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65744" cy="26592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869B812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t>La pantalla concentra los comprobantes emitidos y permite localizar documentos por datos como folio, cliente, RFC, UUID, fecha o estado, según las opciones disponibles.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:rsidRPr="009203B2" w14:paraId="26D3B31B" w14:textId="77777777" w:rsidTr="00A87FE8">
        <w:tc>
          <w:tcPr>
            <w:tcW w:w="675" w:type="dxa"/>
            <w:shd w:val="clear" w:color="auto" w:fill="00B4FF"/>
            <w:vAlign w:val="center"/>
          </w:tcPr>
          <w:p w14:paraId="4AC75491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97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042A32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Define los filtros de consulta.</w:t>
            </w:r>
          </w:p>
        </w:tc>
      </w:tr>
    </w:tbl>
    <w:p w14:paraId="228ADEB7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14:paraId="7B254520" w14:textId="77777777" w:rsidTr="00A87FE8">
        <w:tc>
          <w:tcPr>
            <w:tcW w:w="675" w:type="dxa"/>
            <w:shd w:val="clear" w:color="auto" w:fill="00B4FF"/>
            <w:vAlign w:val="center"/>
          </w:tcPr>
          <w:p w14:paraId="448EC608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97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4FF98C" w14:textId="77777777" w:rsidR="00E04ABC" w:rsidRDefault="00000000">
            <w:pPr>
              <w:rPr>
                <w:rFonts w:hint="eastAsia"/>
              </w:rPr>
            </w:pPr>
            <w:r>
              <w:t>Presiona Buscar o Actualizar.</w:t>
            </w:r>
          </w:p>
        </w:tc>
      </w:tr>
    </w:tbl>
    <w:p w14:paraId="5FD9D196" w14:textId="77777777" w:rsidR="00E04ABC" w:rsidRDefault="00E04ABC">
      <w:pPr>
        <w:spacing w:after="0"/>
        <w:rPr>
          <w:rFonts w:hint="eastAsi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14:paraId="5C3F9737" w14:textId="77777777" w:rsidTr="00A87FE8">
        <w:tc>
          <w:tcPr>
            <w:tcW w:w="675" w:type="dxa"/>
            <w:shd w:val="clear" w:color="auto" w:fill="00B4FF"/>
            <w:vAlign w:val="center"/>
          </w:tcPr>
          <w:p w14:paraId="424A5629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97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D84799" w14:textId="77777777" w:rsidR="00E04ABC" w:rsidRDefault="00000000">
            <w:pPr>
              <w:rPr>
                <w:rFonts w:hint="eastAsia"/>
              </w:rPr>
            </w:pPr>
            <w:r>
              <w:t>Selecciona el comprobante requerido.</w:t>
            </w:r>
          </w:p>
        </w:tc>
      </w:tr>
    </w:tbl>
    <w:p w14:paraId="0E9902A2" w14:textId="77777777" w:rsidR="00E04ABC" w:rsidRDefault="00E04ABC">
      <w:pPr>
        <w:spacing w:after="0"/>
        <w:rPr>
          <w:rFonts w:hint="eastAsi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:rsidRPr="009203B2" w14:paraId="4FDA247C" w14:textId="77777777" w:rsidTr="00A87FE8">
        <w:tc>
          <w:tcPr>
            <w:tcW w:w="675" w:type="dxa"/>
            <w:shd w:val="clear" w:color="auto" w:fill="00B4FF"/>
            <w:vAlign w:val="center"/>
          </w:tcPr>
          <w:p w14:paraId="1F06B8AD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97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E784AF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Utiliza las acciones disponibles para consultar, descargar, enviar o continuar el proceso correspondiente.</w:t>
            </w:r>
          </w:p>
        </w:tc>
      </w:tr>
    </w:tbl>
    <w:p w14:paraId="7EB68CFF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E04ABC" w:rsidRPr="009203B2" w14:paraId="4F41BF6B" w14:textId="77777777">
        <w:trPr>
          <w:jc w:val="center"/>
        </w:trPr>
        <w:tc>
          <w:tcPr>
            <w:tcW w:w="10454" w:type="dxa"/>
            <w:shd w:val="clear" w:color="auto" w:fill="E8F5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C4C1EAE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b/>
                <w:color w:val="1E3A8A"/>
                <w:lang w:val="es-MX"/>
              </w:rPr>
              <w:t xml:space="preserve">Fiscal  </w:t>
            </w:r>
            <w:r w:rsidRPr="009203B2">
              <w:rPr>
                <w:lang w:val="es-MX"/>
              </w:rPr>
              <w:t>El UUID o folio fiscal identifica el CFDI timbrado. Verifica su estado antes de realizar acciones fiscales posteriores.</w:t>
            </w:r>
          </w:p>
        </w:tc>
      </w:tr>
    </w:tbl>
    <w:p w14:paraId="28594D48" w14:textId="77777777" w:rsidR="00E04ABC" w:rsidRPr="009203B2" w:rsidRDefault="00E04ABC">
      <w:pPr>
        <w:spacing w:after="0"/>
        <w:rPr>
          <w:rFonts w:hint="eastAsia"/>
          <w:lang w:val="es-MX"/>
        </w:rPr>
      </w:pPr>
    </w:p>
    <w:p w14:paraId="04F67BBB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3B776AA1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56DBA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F6CA3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6F426BEA" w14:textId="77777777" w:rsidR="00E04ABC" w:rsidRDefault="00E04ABC">
      <w:pPr>
        <w:spacing w:after="0"/>
        <w:rPr>
          <w:rFonts w:hint="eastAsia"/>
        </w:rPr>
      </w:pPr>
    </w:p>
    <w:p w14:paraId="6232F082" w14:textId="77777777" w:rsidR="00E04ABC" w:rsidRDefault="00000000">
      <w:pPr>
        <w:pStyle w:val="Ttulo1"/>
      </w:pPr>
      <w:r>
        <w:t>6. Nueva factura</w:t>
      </w:r>
    </w:p>
    <w:p w14:paraId="574198D8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Captura y emisión de un CFDI 4.0.</w:t>
      </w:r>
    </w:p>
    <w:p w14:paraId="0A918CB6" w14:textId="58DC8A5F" w:rsidR="00E04ABC" w:rsidRDefault="0067525C">
      <w:pPr>
        <w:spacing w:after="140"/>
        <w:jc w:val="center"/>
        <w:rPr>
          <w:rFonts w:hint="eastAsia"/>
        </w:rPr>
      </w:pPr>
      <w:r w:rsidRPr="0067525C">
        <w:drawing>
          <wp:inline distT="0" distB="0" distL="0" distR="0" wp14:anchorId="1FB54B63" wp14:editId="5F058F25">
            <wp:extent cx="6638290" cy="2590800"/>
            <wp:effectExtent l="152400" t="114300" r="124460" b="171450"/>
            <wp:docPr id="13424314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43144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590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CCFC75C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t>La captura reúne los datos del receptor, información fiscal y partidas de productos o servicios.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14:paraId="2EBFA10B" w14:textId="77777777" w:rsidTr="00A87FE8">
        <w:tc>
          <w:tcPr>
            <w:tcW w:w="675" w:type="dxa"/>
            <w:shd w:val="clear" w:color="auto" w:fill="00B4FF"/>
            <w:vAlign w:val="center"/>
          </w:tcPr>
          <w:p w14:paraId="1A1FD277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97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D9E1FE" w14:textId="77777777" w:rsidR="00E04ABC" w:rsidRDefault="00000000">
            <w:pPr>
              <w:rPr>
                <w:rFonts w:hint="eastAsia"/>
              </w:rPr>
            </w:pPr>
            <w:r>
              <w:t>Selecciona el cliente.</w:t>
            </w:r>
          </w:p>
        </w:tc>
      </w:tr>
    </w:tbl>
    <w:p w14:paraId="0891FFB0" w14:textId="77777777" w:rsidR="00E04ABC" w:rsidRDefault="00E04ABC">
      <w:pPr>
        <w:spacing w:after="0"/>
        <w:rPr>
          <w:rFonts w:hint="eastAsi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:rsidRPr="009203B2" w14:paraId="7844437B" w14:textId="77777777" w:rsidTr="00A87FE8">
        <w:tc>
          <w:tcPr>
            <w:tcW w:w="675" w:type="dxa"/>
            <w:shd w:val="clear" w:color="auto" w:fill="00B4FF"/>
            <w:vAlign w:val="center"/>
          </w:tcPr>
          <w:p w14:paraId="640AAA7F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97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3BC6BF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Verifica Uso CFDI, régimen fiscal y datos del receptor.</w:t>
            </w:r>
          </w:p>
        </w:tc>
      </w:tr>
    </w:tbl>
    <w:p w14:paraId="6DDDCB6E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:rsidRPr="009203B2" w14:paraId="5E8CE9E0" w14:textId="77777777" w:rsidTr="00A87FE8">
        <w:tc>
          <w:tcPr>
            <w:tcW w:w="675" w:type="dxa"/>
            <w:shd w:val="clear" w:color="auto" w:fill="00B4FF"/>
            <w:vAlign w:val="center"/>
          </w:tcPr>
          <w:p w14:paraId="70D21DA4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97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C7FEF5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Define tipo de comprobante, moneda, forma y método de pago cuando correspondan.</w:t>
            </w:r>
          </w:p>
        </w:tc>
      </w:tr>
    </w:tbl>
    <w:p w14:paraId="5EF50D4A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:rsidRPr="009203B2" w14:paraId="16564CEB" w14:textId="77777777" w:rsidTr="00A87FE8">
        <w:tc>
          <w:tcPr>
            <w:tcW w:w="675" w:type="dxa"/>
            <w:shd w:val="clear" w:color="auto" w:fill="00B4FF"/>
            <w:vAlign w:val="center"/>
          </w:tcPr>
          <w:p w14:paraId="7A0BC4B1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97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85C153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Agrega las partidas y su clave SAT.</w:t>
            </w:r>
          </w:p>
        </w:tc>
      </w:tr>
    </w:tbl>
    <w:p w14:paraId="07D19CF4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:rsidRPr="009203B2" w14:paraId="4C69D1A7" w14:textId="77777777" w:rsidTr="00A87FE8">
        <w:tc>
          <w:tcPr>
            <w:tcW w:w="675" w:type="dxa"/>
            <w:shd w:val="clear" w:color="auto" w:fill="00B4FF"/>
            <w:vAlign w:val="center"/>
          </w:tcPr>
          <w:p w14:paraId="0F7EFE5B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5</w:t>
            </w:r>
          </w:p>
        </w:tc>
        <w:tc>
          <w:tcPr>
            <w:tcW w:w="97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F0A800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Revisa cantidades, precios, impuestos y totales.</w:t>
            </w:r>
          </w:p>
        </w:tc>
      </w:tr>
    </w:tbl>
    <w:p w14:paraId="129CE2B7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:rsidRPr="009203B2" w14:paraId="534D7885" w14:textId="77777777" w:rsidTr="00A87FE8">
        <w:tc>
          <w:tcPr>
            <w:tcW w:w="675" w:type="dxa"/>
            <w:shd w:val="clear" w:color="auto" w:fill="00B4FF"/>
            <w:vAlign w:val="center"/>
          </w:tcPr>
          <w:p w14:paraId="27B2414D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6</w:t>
            </w:r>
          </w:p>
        </w:tc>
        <w:tc>
          <w:tcPr>
            <w:tcW w:w="97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7FF100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Genera la factura y confirma la operación cuando el sistema lo solicite.</w:t>
            </w:r>
          </w:p>
        </w:tc>
      </w:tr>
    </w:tbl>
    <w:p w14:paraId="5E157954" w14:textId="77777777" w:rsidR="00E04ABC" w:rsidRPr="009203B2" w:rsidRDefault="00E04ABC">
      <w:pPr>
        <w:spacing w:after="0"/>
        <w:rPr>
          <w:rFonts w:hint="eastAsia"/>
          <w:lang w:val="es-MX"/>
        </w:rPr>
      </w:pPr>
    </w:p>
    <w:p w14:paraId="78DC84BF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15957336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D8F8B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8A096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2171947E" w14:textId="77777777" w:rsidR="00E04ABC" w:rsidRDefault="00E04ABC">
      <w:pPr>
        <w:spacing w:after="0"/>
        <w:rPr>
          <w:rFonts w:hint="eastAsia"/>
        </w:rPr>
      </w:pPr>
    </w:p>
    <w:p w14:paraId="1D5A7041" w14:textId="77777777" w:rsidR="00E04ABC" w:rsidRDefault="00000000">
      <w:pPr>
        <w:pStyle w:val="Ttulo1"/>
      </w:pPr>
      <w:r>
        <w:t>6.1 Partidas y conceptos</w:t>
      </w:r>
    </w:p>
    <w:p w14:paraId="31913638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Captura libre o selección desde la lista de precios.</w:t>
      </w:r>
    </w:p>
    <w:p w14:paraId="2AD9DC8F" w14:textId="718D5C8A" w:rsidR="00E04ABC" w:rsidRDefault="0067525C">
      <w:pPr>
        <w:spacing w:after="140"/>
        <w:jc w:val="center"/>
        <w:rPr>
          <w:rFonts w:hint="eastAsia"/>
        </w:rPr>
      </w:pPr>
      <w:r w:rsidRPr="0067525C">
        <w:drawing>
          <wp:inline distT="0" distB="0" distL="0" distR="0" wp14:anchorId="57241397" wp14:editId="29C4E431">
            <wp:extent cx="5859780" cy="2247165"/>
            <wp:effectExtent l="114300" t="114300" r="140970" b="153670"/>
            <wp:docPr id="10238712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87126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79480" cy="2254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2EF281A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>Cantidad y unidad.</w:t>
      </w:r>
    </w:p>
    <w:p w14:paraId="2BE2323B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Descripción del producto o servicio.</w:t>
      </w:r>
    </w:p>
    <w:p w14:paraId="1FADD189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proofErr w:type="spellStart"/>
      <w:r>
        <w:t>Precio</w:t>
      </w:r>
      <w:proofErr w:type="spellEnd"/>
      <w:r>
        <w:t xml:space="preserve"> </w:t>
      </w:r>
      <w:proofErr w:type="spellStart"/>
      <w:r>
        <w:t>unitario</w:t>
      </w:r>
      <w:proofErr w:type="spellEnd"/>
      <w:r>
        <w:t xml:space="preserve"> y </w:t>
      </w:r>
      <w:proofErr w:type="spellStart"/>
      <w:r>
        <w:t>descuentos</w:t>
      </w:r>
      <w:proofErr w:type="spellEnd"/>
      <w:r>
        <w:t>.</w:t>
      </w:r>
    </w:p>
    <w:p w14:paraId="6A4C45EA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Clave de producto/servicio SAT.</w:t>
      </w:r>
    </w:p>
    <w:p w14:paraId="0B231759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proofErr w:type="spellStart"/>
      <w:r>
        <w:t>Impuestos</w:t>
      </w:r>
      <w:proofErr w:type="spellEnd"/>
      <w:r>
        <w:t xml:space="preserve"> </w:t>
      </w:r>
      <w:proofErr w:type="spellStart"/>
      <w:r>
        <w:t>aplicables</w:t>
      </w:r>
      <w:proofErr w:type="spellEnd"/>
      <w:r>
        <w:t>.</w:t>
      </w:r>
    </w:p>
    <w:p w14:paraId="5C43760A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Importe calculado de la partida.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E04ABC" w:rsidRPr="009203B2" w14:paraId="5CDFA941" w14:textId="77777777">
        <w:trPr>
          <w:jc w:val="center"/>
        </w:trPr>
        <w:tc>
          <w:tcPr>
            <w:tcW w:w="10454" w:type="dxa"/>
            <w:shd w:val="clear" w:color="auto" w:fill="E8F5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3144D21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b/>
                <w:color w:val="1E3A8A"/>
                <w:lang w:val="es-MX"/>
              </w:rPr>
              <w:t xml:space="preserve">Revisión previa  </w:t>
            </w:r>
            <w:r w:rsidRPr="009203B2">
              <w:rPr>
                <w:lang w:val="es-MX"/>
              </w:rPr>
              <w:t>Antes de timbrar, valida especialmente RFC, nombre/razón social, código postal, régimen fiscal, Uso CFDI, impuestos y total.</w:t>
            </w:r>
          </w:p>
        </w:tc>
      </w:tr>
    </w:tbl>
    <w:p w14:paraId="0B6CFA48" w14:textId="77777777" w:rsidR="00E04ABC" w:rsidRPr="009203B2" w:rsidRDefault="00E04ABC">
      <w:pPr>
        <w:spacing w:after="0"/>
        <w:rPr>
          <w:rFonts w:hint="eastAsia"/>
          <w:lang w:val="es-MX"/>
        </w:rPr>
      </w:pPr>
    </w:p>
    <w:p w14:paraId="6ECA638F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3628AFB3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A691F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FB3FC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51E9481C" w14:textId="77777777" w:rsidR="00E04ABC" w:rsidRDefault="00E04ABC">
      <w:pPr>
        <w:spacing w:after="0"/>
        <w:rPr>
          <w:rFonts w:hint="eastAsia"/>
        </w:rPr>
      </w:pPr>
    </w:p>
    <w:p w14:paraId="7D802B17" w14:textId="77777777" w:rsidR="00E04ABC" w:rsidRDefault="00000000">
      <w:pPr>
        <w:pStyle w:val="Ttulo1"/>
      </w:pPr>
      <w:r>
        <w:t>7. Cotizaciones</w:t>
      </w:r>
    </w:p>
    <w:p w14:paraId="39021827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Prepara propuestas comerciales antes de facturar.</w:t>
      </w:r>
    </w:p>
    <w:p w14:paraId="20656151" w14:textId="2F0B2154" w:rsidR="00E04ABC" w:rsidRDefault="0067525C">
      <w:pPr>
        <w:spacing w:after="140"/>
        <w:jc w:val="center"/>
        <w:rPr>
          <w:rFonts w:hint="eastAsia"/>
        </w:rPr>
      </w:pPr>
      <w:r w:rsidRPr="0067525C">
        <w:drawing>
          <wp:inline distT="0" distB="0" distL="0" distR="0" wp14:anchorId="590A70CD" wp14:editId="0E409968">
            <wp:extent cx="6638290" cy="3872230"/>
            <wp:effectExtent l="152400" t="114300" r="124460" b="166370"/>
            <wp:docPr id="1065621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219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872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C532F66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t>Las cotizaciones permiten documentar una propuesta y mantener trazabilidad antes de convertirla en una operación definitiva.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14:paraId="5127F166" w14:textId="77777777" w:rsidTr="0067525C">
        <w:tc>
          <w:tcPr>
            <w:tcW w:w="534" w:type="dxa"/>
            <w:shd w:val="clear" w:color="auto" w:fill="00B4FF"/>
            <w:vAlign w:val="center"/>
          </w:tcPr>
          <w:p w14:paraId="4E4E4720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0B8632" w14:textId="77777777" w:rsidR="00E04ABC" w:rsidRDefault="00000000">
            <w:pPr>
              <w:rPr>
                <w:rFonts w:hint="eastAsia"/>
              </w:rPr>
            </w:pPr>
            <w:r>
              <w:t>Crea una nueva cotización.</w:t>
            </w:r>
          </w:p>
        </w:tc>
      </w:tr>
    </w:tbl>
    <w:p w14:paraId="0464A99B" w14:textId="77777777" w:rsidR="00E04ABC" w:rsidRDefault="00E04ABC">
      <w:pPr>
        <w:spacing w:after="0"/>
        <w:rPr>
          <w:rFonts w:hint="eastAsi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:rsidRPr="009203B2" w14:paraId="3644420B" w14:textId="77777777" w:rsidTr="0067525C">
        <w:tc>
          <w:tcPr>
            <w:tcW w:w="534" w:type="dxa"/>
            <w:shd w:val="clear" w:color="auto" w:fill="00B4FF"/>
            <w:vAlign w:val="center"/>
          </w:tcPr>
          <w:p w14:paraId="24CB40BB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7EF9DC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Selecciona el cliente y agrega conceptos.</w:t>
            </w:r>
          </w:p>
        </w:tc>
      </w:tr>
    </w:tbl>
    <w:p w14:paraId="73A660A8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14:paraId="46DB4864" w14:textId="77777777" w:rsidTr="0067525C">
        <w:tc>
          <w:tcPr>
            <w:tcW w:w="534" w:type="dxa"/>
            <w:shd w:val="clear" w:color="auto" w:fill="00B4FF"/>
            <w:vAlign w:val="center"/>
          </w:tcPr>
          <w:p w14:paraId="50D703DE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BC38C8" w14:textId="77777777" w:rsidR="00E04ABC" w:rsidRDefault="00000000">
            <w:pPr>
              <w:rPr>
                <w:rFonts w:hint="eastAsia"/>
              </w:rPr>
            </w:pPr>
            <w:r>
              <w:t>Revisa importes y condiciones.</w:t>
            </w:r>
          </w:p>
        </w:tc>
      </w:tr>
    </w:tbl>
    <w:p w14:paraId="65750835" w14:textId="77777777" w:rsidR="00E04ABC" w:rsidRDefault="00E04ABC">
      <w:pPr>
        <w:spacing w:after="0"/>
        <w:rPr>
          <w:rFonts w:hint="eastAsi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:rsidRPr="009203B2" w14:paraId="736AC59C" w14:textId="77777777" w:rsidTr="0067525C">
        <w:tc>
          <w:tcPr>
            <w:tcW w:w="534" w:type="dxa"/>
            <w:shd w:val="clear" w:color="auto" w:fill="00B4FF"/>
            <w:vAlign w:val="center"/>
          </w:tcPr>
          <w:p w14:paraId="55C8B7F6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4648FD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Guarda y, cuando corresponda, genera la remisión o factura a partir de la cotización.</w:t>
            </w:r>
          </w:p>
        </w:tc>
      </w:tr>
    </w:tbl>
    <w:p w14:paraId="622BD83F" w14:textId="77777777" w:rsidR="00E04ABC" w:rsidRPr="009203B2" w:rsidRDefault="00E04ABC">
      <w:pPr>
        <w:spacing w:after="0"/>
        <w:rPr>
          <w:rFonts w:hint="eastAsia"/>
          <w:lang w:val="es-MX"/>
        </w:rPr>
      </w:pPr>
    </w:p>
    <w:p w14:paraId="4713DC5A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48F27E94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93F03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33984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19EED6E6" w14:textId="77777777" w:rsidR="00E04ABC" w:rsidRDefault="00E04ABC">
      <w:pPr>
        <w:spacing w:after="0"/>
        <w:rPr>
          <w:rFonts w:hint="eastAsia"/>
        </w:rPr>
      </w:pPr>
    </w:p>
    <w:p w14:paraId="7AB6F4F1" w14:textId="77777777" w:rsidR="00E04ABC" w:rsidRDefault="00000000">
      <w:pPr>
        <w:pStyle w:val="Ttulo1"/>
      </w:pPr>
      <w:r>
        <w:t>8. Remisiones</w:t>
      </w:r>
    </w:p>
    <w:p w14:paraId="57DFB504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Control de entrega o prestación previa a la factura.</w:t>
      </w:r>
    </w:p>
    <w:p w14:paraId="3C3030D9" w14:textId="4CA878A5" w:rsidR="00E04ABC" w:rsidRDefault="00254413">
      <w:pPr>
        <w:spacing w:after="140"/>
        <w:jc w:val="center"/>
        <w:rPr>
          <w:rFonts w:hint="eastAsia"/>
        </w:rPr>
      </w:pPr>
      <w:r w:rsidRPr="00254413">
        <w:drawing>
          <wp:inline distT="0" distB="0" distL="0" distR="0" wp14:anchorId="76292735" wp14:editId="58827CA9">
            <wp:extent cx="3345180" cy="3336860"/>
            <wp:effectExtent l="133350" t="114300" r="140970" b="168910"/>
            <wp:docPr id="3722255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2554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48556" cy="33402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FCEB8DF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Generar remisiones con presentación empresarial.</w:t>
      </w:r>
    </w:p>
    <w:p w14:paraId="5896F3CA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Enviar la remisión al cliente para recepción o aprobación.</w:t>
      </w:r>
    </w:p>
    <w:p w14:paraId="32136FBD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Marcar la remisión como recibida cuando proceda.</w:t>
      </w:r>
    </w:p>
    <w:p w14:paraId="2EB279F5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Generar una factura a partir de la remisión para evitar recaptura.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E04ABC" w:rsidRPr="009203B2" w14:paraId="08418C78" w14:textId="77777777">
        <w:trPr>
          <w:jc w:val="center"/>
        </w:trPr>
        <w:tc>
          <w:tcPr>
            <w:tcW w:w="10454" w:type="dxa"/>
            <w:shd w:val="clear" w:color="auto" w:fill="E8F5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FFD6CBF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b/>
                <w:color w:val="1E3A8A"/>
                <w:lang w:val="es-MX"/>
              </w:rPr>
              <w:t xml:space="preserve">Trazabilidad  </w:t>
            </w:r>
            <w:r w:rsidRPr="009203B2">
              <w:rPr>
                <w:lang w:val="es-MX"/>
              </w:rPr>
              <w:t>Mantén el estado de la remisión actualizado para que el seguimiento comercial sea consistente.</w:t>
            </w:r>
          </w:p>
        </w:tc>
      </w:tr>
    </w:tbl>
    <w:p w14:paraId="55B68A18" w14:textId="77777777" w:rsidR="00E04ABC" w:rsidRPr="009203B2" w:rsidRDefault="00E04ABC">
      <w:pPr>
        <w:spacing w:after="0"/>
        <w:rPr>
          <w:rFonts w:hint="eastAsia"/>
          <w:lang w:val="es-MX"/>
        </w:rPr>
      </w:pPr>
    </w:p>
    <w:p w14:paraId="56DCA4E4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51652698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EA76D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9F050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30868709" w14:textId="77777777" w:rsidR="00E04ABC" w:rsidRDefault="00E04ABC">
      <w:pPr>
        <w:spacing w:after="0"/>
        <w:rPr>
          <w:rFonts w:hint="eastAsia"/>
        </w:rPr>
      </w:pPr>
    </w:p>
    <w:p w14:paraId="33F73ABD" w14:textId="77777777" w:rsidR="00E04ABC" w:rsidRDefault="00000000">
      <w:pPr>
        <w:pStyle w:val="Ttulo1"/>
      </w:pPr>
      <w:r>
        <w:t>9. Lista de precios</w:t>
      </w:r>
    </w:p>
    <w:p w14:paraId="2E952FAA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Catálogo comercial reutilizable en la captura.</w:t>
      </w:r>
    </w:p>
    <w:p w14:paraId="2C525FC8" w14:textId="635C6BA2" w:rsidR="00E04ABC" w:rsidRDefault="00254413">
      <w:pPr>
        <w:spacing w:after="140"/>
        <w:jc w:val="center"/>
        <w:rPr>
          <w:rFonts w:hint="eastAsia"/>
        </w:rPr>
      </w:pPr>
      <w:r w:rsidRPr="00254413">
        <w:drawing>
          <wp:inline distT="0" distB="0" distL="0" distR="0" wp14:anchorId="6B9A042F" wp14:editId="4DA51C61">
            <wp:extent cx="4221480" cy="2024727"/>
            <wp:effectExtent l="152400" t="114300" r="140970" b="147320"/>
            <wp:docPr id="5307415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74156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32978" cy="20302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F313905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t>La lista de precios facilita la reutilización de productos y servicios frecuentes. No impide la captura libre de conceptos cuando la operación lo requiera.</w:t>
      </w:r>
    </w:p>
    <w:p w14:paraId="4E656BF4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 xml:space="preserve">Consulta </w:t>
      </w:r>
      <w:proofErr w:type="spellStart"/>
      <w:r>
        <w:t>conceptos</w:t>
      </w:r>
      <w:proofErr w:type="spellEnd"/>
      <w:r>
        <w:t xml:space="preserve"> </w:t>
      </w:r>
      <w:proofErr w:type="spellStart"/>
      <w:r>
        <w:t>existentes</w:t>
      </w:r>
      <w:proofErr w:type="spellEnd"/>
      <w:r>
        <w:t>.</w:t>
      </w:r>
    </w:p>
    <w:p w14:paraId="23EB424A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Verifica descripción, precio y datos fiscales asociados.</w:t>
      </w:r>
    </w:p>
    <w:p w14:paraId="135AD1C6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Mantén actualizado el catálogo comercial.</w:t>
      </w:r>
    </w:p>
    <w:p w14:paraId="1E2E57F2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Selecciona conceptos desde la factura cuando sea conveniente.</w:t>
      </w:r>
    </w:p>
    <w:p w14:paraId="72F0AF89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62A2F64C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B05B2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638EE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20CFBAEC" w14:textId="77777777" w:rsidR="00E04ABC" w:rsidRDefault="00E04ABC">
      <w:pPr>
        <w:spacing w:after="0"/>
        <w:rPr>
          <w:rFonts w:hint="eastAsia"/>
        </w:rPr>
      </w:pPr>
    </w:p>
    <w:p w14:paraId="5C42A622" w14:textId="77777777" w:rsidR="00E04ABC" w:rsidRDefault="00000000">
      <w:pPr>
        <w:pStyle w:val="Ttulo1"/>
      </w:pPr>
      <w:r>
        <w:t>10. Cobranza y cuentas por cobrar</w:t>
      </w:r>
    </w:p>
    <w:p w14:paraId="03EC3B40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Seguimiento de saldos, pagos y documentos pendientes.</w:t>
      </w:r>
    </w:p>
    <w:p w14:paraId="18A9B203" w14:textId="16160E2B" w:rsidR="00E04ABC" w:rsidRDefault="00B537EF">
      <w:pPr>
        <w:spacing w:after="140"/>
        <w:jc w:val="center"/>
        <w:rPr>
          <w:rFonts w:hint="eastAsia"/>
        </w:rPr>
      </w:pPr>
      <w:r w:rsidRPr="00B537EF">
        <w:drawing>
          <wp:inline distT="0" distB="0" distL="0" distR="0" wp14:anchorId="672A49A1" wp14:editId="1ADE1BC8">
            <wp:extent cx="6638290" cy="1758315"/>
            <wp:effectExtent l="152400" t="114300" r="124460" b="165735"/>
            <wp:docPr id="18282652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6528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1758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11ED390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Consultar cartera por cliente y periodo.</w:t>
      </w:r>
    </w:p>
    <w:p w14:paraId="56A7172C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Identificar documentos pendientes o parcialmente pagados.</w:t>
      </w:r>
    </w:p>
    <w:p w14:paraId="6330E759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 xml:space="preserve">Registrar </w:t>
      </w:r>
      <w:proofErr w:type="spellStart"/>
      <w:r>
        <w:t>pagos</w:t>
      </w:r>
      <w:proofErr w:type="spellEnd"/>
      <w:r>
        <w:t>.</w:t>
      </w:r>
    </w:p>
    <w:p w14:paraId="66281E8A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>Consultar movimientos de pago.</w:t>
      </w:r>
    </w:p>
    <w:p w14:paraId="2C2892D7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Mantener el estado de cobranza actualizado.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E04ABC" w14:paraId="33DE3C96" w14:textId="77777777">
        <w:trPr>
          <w:jc w:val="center"/>
        </w:trPr>
        <w:tc>
          <w:tcPr>
            <w:tcW w:w="10454" w:type="dxa"/>
            <w:shd w:val="clear" w:color="auto" w:fill="E8F5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B95FB81" w14:textId="77777777" w:rsidR="00E04ABC" w:rsidRDefault="00000000">
            <w:pPr>
              <w:rPr>
                <w:rFonts w:hint="eastAsia"/>
              </w:rPr>
            </w:pPr>
            <w:r w:rsidRPr="009203B2">
              <w:rPr>
                <w:b/>
                <w:color w:val="1E3A8A"/>
                <w:lang w:val="es-MX"/>
              </w:rPr>
              <w:t xml:space="preserve">Control  </w:t>
            </w:r>
            <w:r w:rsidRPr="009203B2">
              <w:rPr>
                <w:lang w:val="es-MX"/>
              </w:rPr>
              <w:t xml:space="preserve">Un estado fiscal del CFDI y un estado de pago son conceptos distintos. </w:t>
            </w:r>
            <w:r>
              <w:t xml:space="preserve">TAFI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presenta</w:t>
            </w:r>
            <w:proofErr w:type="spellEnd"/>
            <w:r>
              <w:t xml:space="preserve"> de manera separada cuando corresponde.</w:t>
            </w:r>
          </w:p>
        </w:tc>
      </w:tr>
    </w:tbl>
    <w:p w14:paraId="6FC70D39" w14:textId="77777777" w:rsidR="00E04ABC" w:rsidRDefault="00E04ABC">
      <w:pPr>
        <w:spacing w:after="0"/>
        <w:rPr>
          <w:rFonts w:hint="eastAsia"/>
        </w:rPr>
      </w:pPr>
    </w:p>
    <w:p w14:paraId="42532F87" w14:textId="77777777" w:rsidR="00E04ABC" w:rsidRDefault="00000000">
      <w:pPr>
        <w:rPr>
          <w:rFonts w:hint="eastAsia"/>
        </w:rPr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0117C9E5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33692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1416C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08A8FAD6" w14:textId="77777777" w:rsidR="00E04ABC" w:rsidRDefault="00E04ABC">
      <w:pPr>
        <w:spacing w:after="0"/>
        <w:rPr>
          <w:rFonts w:hint="eastAsia"/>
        </w:rPr>
      </w:pPr>
    </w:p>
    <w:p w14:paraId="55AB9066" w14:textId="77777777" w:rsidR="00E04ABC" w:rsidRDefault="00000000">
      <w:pPr>
        <w:pStyle w:val="Ttulo1"/>
      </w:pPr>
      <w:r>
        <w:t>11. Facturas recibidas (CxP)</w:t>
      </w:r>
    </w:p>
    <w:p w14:paraId="31CF8849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Centro de recepción de CFDI, proveedores, pagos y vencimientos.</w:t>
      </w:r>
    </w:p>
    <w:p w14:paraId="01AC37FB" w14:textId="46E6C51D" w:rsidR="00E04ABC" w:rsidRDefault="00B8346E">
      <w:pPr>
        <w:spacing w:after="140"/>
        <w:jc w:val="center"/>
        <w:rPr>
          <w:rFonts w:hint="eastAsia"/>
        </w:rPr>
      </w:pPr>
      <w:r w:rsidRPr="00B8346E">
        <w:drawing>
          <wp:inline distT="0" distB="0" distL="0" distR="0" wp14:anchorId="1E24B4C4" wp14:editId="1A0AE420">
            <wp:extent cx="5585460" cy="2597180"/>
            <wp:effectExtent l="133350" t="114300" r="148590" b="165100"/>
            <wp:docPr id="8754692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46928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90875" cy="25996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6EC5B65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t>Esta pantalla concentra CFDI recibidos desde diferentes mecanismos y permite administrar cuentas por pagar.</w:t>
      </w:r>
    </w:p>
    <w:p w14:paraId="747B08E8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Indicadores de documentos, importe recibido, saldo pendiente, pendientes, cancelados SAT, vencidos y programados.</w:t>
      </w:r>
    </w:p>
    <w:p w14:paraId="2F11AD9C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Consulta de conceptos del CFDI seleccionado.</w:t>
      </w:r>
    </w:p>
    <w:p w14:paraId="543E00EE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Registro y consulta de pagos.</w:t>
      </w:r>
    </w:p>
    <w:p w14:paraId="69B67A55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Vencimientos y programación de pagos.</w:t>
      </w:r>
    </w:p>
    <w:p w14:paraId="188000D9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Importación de XML individual o por carpeta.</w:t>
      </w:r>
    </w:p>
    <w:p w14:paraId="01AD42E0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20B250D0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B4E22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1687C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73D30763" w14:textId="77777777" w:rsidR="00E04ABC" w:rsidRDefault="00E04ABC">
      <w:pPr>
        <w:spacing w:after="0"/>
        <w:rPr>
          <w:rFonts w:hint="eastAsia"/>
        </w:rPr>
      </w:pPr>
    </w:p>
    <w:p w14:paraId="01CF5A47" w14:textId="77777777" w:rsidR="00E04ABC" w:rsidRDefault="00000000">
      <w:pPr>
        <w:pStyle w:val="Ttulo1"/>
      </w:pPr>
      <w:r>
        <w:t>11.1 Pagos y agenda</w:t>
      </w:r>
    </w:p>
    <w:p w14:paraId="0AC70C45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Planeación operativa de obligaciones con proveedores.</w:t>
      </w:r>
    </w:p>
    <w:p w14:paraId="112E6892" w14:textId="4C8B197C" w:rsidR="00E04ABC" w:rsidRDefault="00B8346E">
      <w:pPr>
        <w:spacing w:after="140"/>
        <w:jc w:val="center"/>
        <w:rPr>
          <w:rFonts w:hint="eastAsia"/>
        </w:rPr>
      </w:pPr>
      <w:r w:rsidRPr="00B8346E">
        <w:drawing>
          <wp:inline distT="0" distB="0" distL="0" distR="0" wp14:anchorId="0F5D92E0" wp14:editId="584C0F54">
            <wp:extent cx="4465320" cy="2863973"/>
            <wp:effectExtent l="133350" t="114300" r="125730" b="165100"/>
            <wp:docPr id="994041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0414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70188" cy="2867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14:paraId="7E77D4EE" w14:textId="77777777" w:rsidTr="00B8346E">
        <w:tc>
          <w:tcPr>
            <w:tcW w:w="534" w:type="dxa"/>
            <w:shd w:val="clear" w:color="auto" w:fill="00B4FF"/>
            <w:vAlign w:val="center"/>
          </w:tcPr>
          <w:p w14:paraId="3C6E67AC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8BF661" w14:textId="77777777" w:rsidR="00E04ABC" w:rsidRDefault="00000000">
            <w:pPr>
              <w:rPr>
                <w:rFonts w:hint="eastAsia"/>
              </w:rPr>
            </w:pPr>
            <w:r>
              <w:t>Selecciona el CFDI pendiente.</w:t>
            </w:r>
          </w:p>
        </w:tc>
      </w:tr>
    </w:tbl>
    <w:p w14:paraId="5630ABAA" w14:textId="77777777" w:rsidR="00E04ABC" w:rsidRDefault="00E04ABC">
      <w:pPr>
        <w:spacing w:after="0"/>
        <w:rPr>
          <w:rFonts w:hint="eastAsi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:rsidRPr="009203B2" w14:paraId="660D56B3" w14:textId="77777777" w:rsidTr="00B8346E">
        <w:tc>
          <w:tcPr>
            <w:tcW w:w="534" w:type="dxa"/>
            <w:shd w:val="clear" w:color="auto" w:fill="00B4FF"/>
            <w:vAlign w:val="center"/>
          </w:tcPr>
          <w:p w14:paraId="243686AE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D98698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Define vencimiento cuando sea necesario.</w:t>
            </w:r>
          </w:p>
        </w:tc>
      </w:tr>
    </w:tbl>
    <w:p w14:paraId="28C3F6EE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:rsidRPr="009203B2" w14:paraId="4176B295" w14:textId="77777777" w:rsidTr="00B8346E">
        <w:tc>
          <w:tcPr>
            <w:tcW w:w="534" w:type="dxa"/>
            <w:shd w:val="clear" w:color="auto" w:fill="00B4FF"/>
            <w:vAlign w:val="center"/>
          </w:tcPr>
          <w:p w14:paraId="00E4E381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F87393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Programa la fecha prevista de pago.</w:t>
            </w:r>
          </w:p>
        </w:tc>
      </w:tr>
    </w:tbl>
    <w:p w14:paraId="01ADDDD1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:rsidRPr="009203B2" w14:paraId="51F4BA41" w14:textId="77777777" w:rsidTr="00B8346E">
        <w:tc>
          <w:tcPr>
            <w:tcW w:w="534" w:type="dxa"/>
            <w:shd w:val="clear" w:color="auto" w:fill="00B4FF"/>
            <w:vAlign w:val="center"/>
          </w:tcPr>
          <w:p w14:paraId="06234CAF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417A12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Consulta la Agenda de pagos para revisar compromisos.</w:t>
            </w:r>
          </w:p>
        </w:tc>
      </w:tr>
    </w:tbl>
    <w:p w14:paraId="349A2346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:rsidRPr="009203B2" w14:paraId="4F3A0715" w14:textId="77777777" w:rsidTr="00B8346E">
        <w:tc>
          <w:tcPr>
            <w:tcW w:w="534" w:type="dxa"/>
            <w:shd w:val="clear" w:color="auto" w:fill="00B4FF"/>
            <w:vAlign w:val="center"/>
          </w:tcPr>
          <w:p w14:paraId="1847F386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5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560CE9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Registra el pago real cuando se efectúe.</w:t>
            </w:r>
          </w:p>
        </w:tc>
      </w:tr>
    </w:tbl>
    <w:p w14:paraId="002E9290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E04ABC" w:rsidRPr="009203B2" w14:paraId="03D6894A" w14:textId="77777777">
        <w:trPr>
          <w:jc w:val="center"/>
        </w:trPr>
        <w:tc>
          <w:tcPr>
            <w:tcW w:w="10454" w:type="dxa"/>
            <w:shd w:val="clear" w:color="auto" w:fill="E8F5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5B9614D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b/>
                <w:color w:val="1E3A8A"/>
                <w:lang w:val="es-MX"/>
              </w:rPr>
              <w:t xml:space="preserve">Atención  </w:t>
            </w:r>
            <w:r w:rsidRPr="009203B2">
              <w:rPr>
                <w:lang w:val="es-MX"/>
              </w:rPr>
              <w:t>La programación es una herramienta administrativa; no sustituye el registro del pago realizado.</w:t>
            </w:r>
          </w:p>
        </w:tc>
      </w:tr>
    </w:tbl>
    <w:p w14:paraId="585D9436" w14:textId="77777777" w:rsidR="00E04ABC" w:rsidRPr="009203B2" w:rsidRDefault="00E04ABC">
      <w:pPr>
        <w:spacing w:after="0"/>
        <w:rPr>
          <w:rFonts w:hint="eastAsia"/>
          <w:lang w:val="es-MX"/>
        </w:rPr>
      </w:pPr>
    </w:p>
    <w:p w14:paraId="190BADB9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2BA47080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4508B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2E97E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5E7C9D4A" w14:textId="77777777" w:rsidR="00E04ABC" w:rsidRDefault="00E04ABC">
      <w:pPr>
        <w:spacing w:after="0"/>
        <w:rPr>
          <w:rFonts w:hint="eastAsia"/>
        </w:rPr>
      </w:pPr>
    </w:p>
    <w:p w14:paraId="6DAB01F6" w14:textId="77777777" w:rsidR="00E04ABC" w:rsidRDefault="00000000">
      <w:pPr>
        <w:pStyle w:val="Ttulo1"/>
      </w:pPr>
      <w:r>
        <w:t>12. Conectores de correo</w:t>
      </w:r>
    </w:p>
    <w:p w14:paraId="547731A7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Recepción automatizada de CFDI XML desde cuentas autorizadas.</w:t>
      </w:r>
    </w:p>
    <w:p w14:paraId="7BB8B419" w14:textId="7ED06E20" w:rsidR="00E04ABC" w:rsidRDefault="00F4325B">
      <w:pPr>
        <w:spacing w:after="140"/>
        <w:jc w:val="center"/>
        <w:rPr>
          <w:rFonts w:hint="eastAsia"/>
        </w:rPr>
      </w:pPr>
      <w:r w:rsidRPr="00F4325B">
        <w:drawing>
          <wp:inline distT="0" distB="0" distL="0" distR="0" wp14:anchorId="1D1DC67A" wp14:editId="55569E73">
            <wp:extent cx="4511040" cy="3632910"/>
            <wp:effectExtent l="133350" t="114300" r="137160" b="158115"/>
            <wp:docPr id="16200210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02108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15585" cy="3636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7E21A84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t>TAFI 5 puede revisar cuentas configuradas para localizar XML de CFDI y procesarlos en Facturas recibidas.</w:t>
      </w:r>
    </w:p>
    <w:p w14:paraId="38202879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 xml:space="preserve">Microsoft: </w:t>
      </w:r>
      <w:proofErr w:type="spellStart"/>
      <w:r>
        <w:t>conexión</w:t>
      </w:r>
      <w:proofErr w:type="spellEnd"/>
      <w:r>
        <w:t xml:space="preserve"> </w:t>
      </w:r>
      <w:proofErr w:type="spellStart"/>
      <w:r>
        <w:t>mediante</w:t>
      </w:r>
      <w:proofErr w:type="spellEnd"/>
      <w:r>
        <w:t xml:space="preserve"> OAuth 2.0.</w:t>
      </w:r>
    </w:p>
    <w:p w14:paraId="44BD80CD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 xml:space="preserve">Gmail/Google </w:t>
      </w:r>
      <w:proofErr w:type="spellStart"/>
      <w:r w:rsidRPr="009203B2">
        <w:rPr>
          <w:lang w:val="es-MX"/>
        </w:rPr>
        <w:t>Workspace</w:t>
      </w:r>
      <w:proofErr w:type="spellEnd"/>
      <w:r w:rsidRPr="009203B2">
        <w:rPr>
          <w:lang w:val="es-MX"/>
        </w:rPr>
        <w:t>: integración controlada mediante OAuth 2.0 cuando esté habilitada.</w:t>
      </w:r>
    </w:p>
    <w:p w14:paraId="3502FFF5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Correo corporativo: conexión IMAP TLS/SSL cuando el proveedor lo permita.</w:t>
      </w:r>
    </w:p>
    <w:p w14:paraId="4F22186B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Los duplicados se omiten para evitar registros repetidos.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E04ABC" w:rsidRPr="009203B2" w14:paraId="7572557B" w14:textId="77777777">
        <w:trPr>
          <w:jc w:val="center"/>
        </w:trPr>
        <w:tc>
          <w:tcPr>
            <w:tcW w:w="10454" w:type="dxa"/>
            <w:shd w:val="clear" w:color="auto" w:fill="E8F5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A0FA679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b/>
                <w:color w:val="1E3A8A"/>
                <w:lang w:val="es-MX"/>
              </w:rPr>
              <w:t xml:space="preserve">Privacidad  </w:t>
            </w:r>
            <w:r w:rsidRPr="009203B2">
              <w:rPr>
                <w:lang w:val="es-MX"/>
              </w:rPr>
              <w:t>Autoriza únicamente buzones empresariales destinados al proceso. La disponibilidad de cada conector depende de la configuración y políticas del proveedor.</w:t>
            </w:r>
          </w:p>
        </w:tc>
      </w:tr>
    </w:tbl>
    <w:p w14:paraId="3E46549B" w14:textId="77777777" w:rsidR="00E04ABC" w:rsidRPr="009203B2" w:rsidRDefault="00E04ABC">
      <w:pPr>
        <w:spacing w:after="0"/>
        <w:rPr>
          <w:rFonts w:hint="eastAsia"/>
          <w:lang w:val="es-MX"/>
        </w:rPr>
      </w:pPr>
    </w:p>
    <w:p w14:paraId="2B28A124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1FED7CAD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AABF5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3B397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74D4C3FF" w14:textId="77777777" w:rsidR="00E04ABC" w:rsidRDefault="00E04ABC">
      <w:pPr>
        <w:spacing w:after="0"/>
        <w:rPr>
          <w:rFonts w:hint="eastAsia"/>
        </w:rPr>
      </w:pPr>
    </w:p>
    <w:p w14:paraId="217014F6" w14:textId="77777777" w:rsidR="00E04ABC" w:rsidRDefault="00000000">
      <w:pPr>
        <w:pStyle w:val="Ttulo1"/>
      </w:pPr>
      <w:r>
        <w:t>12.1 Sincronizar correo</w:t>
      </w:r>
    </w:p>
    <w:p w14:paraId="63E0D6A4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Ejecución de la revisión de buzones configurados.</w:t>
      </w:r>
    </w:p>
    <w:p w14:paraId="43973109" w14:textId="2EA6198F" w:rsidR="00E04ABC" w:rsidRDefault="00F4325B">
      <w:pPr>
        <w:spacing w:after="140"/>
        <w:jc w:val="center"/>
        <w:rPr>
          <w:rFonts w:hint="eastAsia"/>
        </w:rPr>
      </w:pPr>
      <w:r w:rsidRPr="00F4325B">
        <w:drawing>
          <wp:inline distT="0" distB="0" distL="0" distR="0" wp14:anchorId="352F4004" wp14:editId="22396960">
            <wp:extent cx="4533900" cy="2933981"/>
            <wp:effectExtent l="133350" t="114300" r="133350" b="171450"/>
            <wp:docPr id="25871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14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41422" cy="29388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:rsidRPr="009203B2" w14:paraId="06992BE7" w14:textId="77777777" w:rsidTr="00F4325B">
        <w:tc>
          <w:tcPr>
            <w:tcW w:w="534" w:type="dxa"/>
            <w:shd w:val="clear" w:color="auto" w:fill="00B4FF"/>
            <w:vAlign w:val="center"/>
          </w:tcPr>
          <w:p w14:paraId="1A410FD9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09A8AF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Abre Conectores de correo y verifica que las cuentas necesarias estén activas.</w:t>
            </w:r>
          </w:p>
        </w:tc>
      </w:tr>
    </w:tbl>
    <w:p w14:paraId="3D35E6BA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14:paraId="61D46B6A" w14:textId="77777777" w:rsidTr="00F4325B">
        <w:tc>
          <w:tcPr>
            <w:tcW w:w="534" w:type="dxa"/>
            <w:shd w:val="clear" w:color="auto" w:fill="00B4FF"/>
            <w:vAlign w:val="center"/>
          </w:tcPr>
          <w:p w14:paraId="57E1550C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888147" w14:textId="77777777" w:rsidR="00E04ABC" w:rsidRDefault="00000000">
            <w:pPr>
              <w:rPr>
                <w:rFonts w:hint="eastAsia"/>
              </w:rPr>
            </w:pPr>
            <w:r>
              <w:t>Regresa a Facturas recibidas.</w:t>
            </w:r>
          </w:p>
        </w:tc>
      </w:tr>
    </w:tbl>
    <w:p w14:paraId="2D29ADA1" w14:textId="77777777" w:rsidR="00E04ABC" w:rsidRDefault="00E04ABC">
      <w:pPr>
        <w:spacing w:after="0"/>
        <w:rPr>
          <w:rFonts w:hint="eastAsi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14:paraId="14723DD1" w14:textId="77777777" w:rsidTr="00F4325B">
        <w:tc>
          <w:tcPr>
            <w:tcW w:w="534" w:type="dxa"/>
            <w:shd w:val="clear" w:color="auto" w:fill="00B4FF"/>
            <w:vAlign w:val="center"/>
          </w:tcPr>
          <w:p w14:paraId="32F6D773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B42813" w14:textId="77777777" w:rsidR="00E04ABC" w:rsidRDefault="00000000">
            <w:pPr>
              <w:rPr>
                <w:rFonts w:hint="eastAsia"/>
              </w:rPr>
            </w:pPr>
            <w:r>
              <w:t>Presiona Sincronizar correo.</w:t>
            </w:r>
          </w:p>
        </w:tc>
      </w:tr>
    </w:tbl>
    <w:p w14:paraId="7DBA3764" w14:textId="77777777" w:rsidR="00E04ABC" w:rsidRDefault="00E04ABC">
      <w:pPr>
        <w:spacing w:after="0"/>
        <w:rPr>
          <w:rFonts w:hint="eastAsi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:rsidRPr="009203B2" w14:paraId="5DC0F3C2" w14:textId="77777777" w:rsidTr="00F4325B">
        <w:tc>
          <w:tcPr>
            <w:tcW w:w="534" w:type="dxa"/>
            <w:shd w:val="clear" w:color="auto" w:fill="00B4FF"/>
            <w:vAlign w:val="center"/>
          </w:tcPr>
          <w:p w14:paraId="6BEBE792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1FA9C6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Espera a que termine el proceso.</w:t>
            </w:r>
          </w:p>
        </w:tc>
      </w:tr>
    </w:tbl>
    <w:p w14:paraId="4E5449B8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920"/>
      </w:tblGrid>
      <w:tr w:rsidR="00E04ABC" w:rsidRPr="009203B2" w14:paraId="17CE30D0" w14:textId="77777777" w:rsidTr="00F4325B">
        <w:tc>
          <w:tcPr>
            <w:tcW w:w="534" w:type="dxa"/>
            <w:shd w:val="clear" w:color="auto" w:fill="00B4FF"/>
            <w:vAlign w:val="center"/>
          </w:tcPr>
          <w:p w14:paraId="129CF56F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5</w:t>
            </w:r>
          </w:p>
        </w:tc>
        <w:tc>
          <w:tcPr>
            <w:tcW w:w="992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8051C8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Revisa mensajes, adjuntos, XML encontrados, nuevos, duplicados, rechazados y errores.</w:t>
            </w:r>
          </w:p>
        </w:tc>
      </w:tr>
    </w:tbl>
    <w:p w14:paraId="5C335628" w14:textId="77777777" w:rsidR="00E04ABC" w:rsidRPr="009203B2" w:rsidRDefault="00E04ABC">
      <w:pPr>
        <w:spacing w:after="0"/>
        <w:rPr>
          <w:rFonts w:hint="eastAsia"/>
          <w:lang w:val="es-MX"/>
        </w:rPr>
      </w:pPr>
    </w:p>
    <w:p w14:paraId="387D1805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56F4C7EA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F4957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D5A10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07A64D61" w14:textId="77777777" w:rsidR="00E04ABC" w:rsidRDefault="00E04ABC">
      <w:pPr>
        <w:spacing w:after="0"/>
        <w:rPr>
          <w:rFonts w:hint="eastAsia"/>
        </w:rPr>
      </w:pPr>
    </w:p>
    <w:p w14:paraId="11F32EE6" w14:textId="77777777" w:rsidR="00E04ABC" w:rsidRDefault="00000000">
      <w:pPr>
        <w:pStyle w:val="Ttulo1"/>
      </w:pPr>
      <w:r>
        <w:t>13. Sincronización SAT</w:t>
      </w:r>
    </w:p>
    <w:p w14:paraId="395AEAEC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Consulta y validación fiscal de CFDI recibidos.</w:t>
      </w:r>
    </w:p>
    <w:p w14:paraId="6FF33081" w14:textId="7F03D8A5" w:rsidR="00E04ABC" w:rsidRDefault="00C1437B">
      <w:pPr>
        <w:spacing w:after="140"/>
        <w:jc w:val="center"/>
        <w:rPr>
          <w:rFonts w:hint="eastAsia"/>
        </w:rPr>
      </w:pPr>
      <w:r w:rsidRPr="00C1437B">
        <w:drawing>
          <wp:inline distT="0" distB="0" distL="0" distR="0" wp14:anchorId="519B366A" wp14:editId="29C4CE73">
            <wp:extent cx="4892040" cy="3640251"/>
            <wp:effectExtent l="133350" t="114300" r="118110" b="170180"/>
            <wp:docPr id="20860450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04503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8089" cy="36447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F98BDB9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t>Las funciones SAT permiten complementar el control de CFDI recibidos mediante procesos de consulta, descarga o validación disponibles en el sistema.</w:t>
      </w:r>
    </w:p>
    <w:p w14:paraId="01B33B9A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Identificar CFDI vigentes o cancelados.</w:t>
      </w:r>
    </w:p>
    <w:p w14:paraId="54022ACE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Distinguir documentos pendientes de validar.</w:t>
      </w:r>
    </w:p>
    <w:p w14:paraId="723112F4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Mostrar alertas o riesgo fiscal cuando exista información disponible.</w:t>
      </w:r>
    </w:p>
    <w:p w14:paraId="5FB0FD9F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Descargar/importar CFDI mediante los procesos autorizados.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E04ABC" w:rsidRPr="009203B2" w14:paraId="7899A6FA" w14:textId="77777777">
        <w:trPr>
          <w:jc w:val="center"/>
        </w:trPr>
        <w:tc>
          <w:tcPr>
            <w:tcW w:w="10454" w:type="dxa"/>
            <w:shd w:val="clear" w:color="auto" w:fill="E8F5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3FE94A8" w14:textId="77777777" w:rsidR="00E04ABC" w:rsidRPr="009203B2" w:rsidRDefault="00000000">
            <w:pPr>
              <w:rPr>
                <w:rFonts w:hint="eastAsia"/>
                <w:lang w:val="es-MX"/>
              </w:rPr>
            </w:pPr>
            <w:proofErr w:type="spellStart"/>
            <w:r w:rsidRPr="009203B2">
              <w:rPr>
                <w:b/>
                <w:color w:val="1E3A8A"/>
                <w:lang w:val="es-MX"/>
              </w:rPr>
              <w:t>e.firma</w:t>
            </w:r>
            <w:proofErr w:type="spellEnd"/>
            <w:r w:rsidRPr="009203B2">
              <w:rPr>
                <w:b/>
                <w:color w:val="1E3A8A"/>
                <w:lang w:val="es-MX"/>
              </w:rPr>
              <w:t xml:space="preserve">  </w:t>
            </w:r>
            <w:r w:rsidRPr="009203B2">
              <w:rPr>
                <w:lang w:val="es-MX"/>
              </w:rPr>
              <w:t xml:space="preserve">Los procesos de descarga masiva del SAT pueden requerir </w:t>
            </w:r>
            <w:proofErr w:type="spellStart"/>
            <w:r w:rsidRPr="009203B2">
              <w:rPr>
                <w:lang w:val="es-MX"/>
              </w:rPr>
              <w:t>e.firma</w:t>
            </w:r>
            <w:proofErr w:type="spellEnd"/>
            <w:r w:rsidRPr="009203B2">
              <w:rPr>
                <w:lang w:val="es-MX"/>
              </w:rPr>
              <w:t xml:space="preserve"> vigente y su configuración correspondiente.</w:t>
            </w:r>
          </w:p>
        </w:tc>
      </w:tr>
    </w:tbl>
    <w:p w14:paraId="39A7BCA2" w14:textId="77777777" w:rsidR="00E04ABC" w:rsidRPr="009203B2" w:rsidRDefault="00E04ABC">
      <w:pPr>
        <w:spacing w:after="0"/>
        <w:rPr>
          <w:rFonts w:hint="eastAsia"/>
          <w:lang w:val="es-MX"/>
        </w:rPr>
      </w:pPr>
    </w:p>
    <w:p w14:paraId="72FC5768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03456938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238B3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6180D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18E22931" w14:textId="77777777" w:rsidR="00E04ABC" w:rsidRDefault="00E04ABC">
      <w:pPr>
        <w:spacing w:after="0"/>
        <w:rPr>
          <w:rFonts w:hint="eastAsia"/>
        </w:rPr>
      </w:pPr>
    </w:p>
    <w:p w14:paraId="3752F7D9" w14:textId="77777777" w:rsidR="00E04ABC" w:rsidRDefault="00000000">
      <w:pPr>
        <w:pStyle w:val="Ttulo1"/>
      </w:pPr>
      <w:r>
        <w:t>14. Clientes</w:t>
      </w:r>
    </w:p>
    <w:p w14:paraId="04FB0F69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Padrón comercial y fiscal de receptores.</w:t>
      </w:r>
    </w:p>
    <w:p w14:paraId="2E8ADEE0" w14:textId="44D88010" w:rsidR="00E04ABC" w:rsidRDefault="00F4325B">
      <w:pPr>
        <w:spacing w:after="140"/>
        <w:jc w:val="center"/>
        <w:rPr>
          <w:rFonts w:hint="eastAsia"/>
        </w:rPr>
      </w:pPr>
      <w:r w:rsidRPr="00F4325B">
        <w:drawing>
          <wp:inline distT="0" distB="0" distL="0" distR="0" wp14:anchorId="40B5B3E3" wp14:editId="7D4880DC">
            <wp:extent cx="4541520" cy="2755148"/>
            <wp:effectExtent l="133350" t="114300" r="125730" b="160020"/>
            <wp:docPr id="11541785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17857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57006" cy="27645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09505E7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>Nombre o razón social.</w:t>
      </w:r>
    </w:p>
    <w:p w14:paraId="1010302F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>RFC.</w:t>
      </w:r>
    </w:p>
    <w:p w14:paraId="58153691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>Domicilio/código postal fiscal.</w:t>
      </w:r>
    </w:p>
    <w:p w14:paraId="40DB3B0F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>Régimen fiscal.</w:t>
      </w:r>
    </w:p>
    <w:p w14:paraId="357574E2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>Uso CFDI.</w:t>
      </w:r>
    </w:p>
    <w:p w14:paraId="7611D20C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>Correo electrónico.</w:t>
      </w:r>
    </w:p>
    <w:p w14:paraId="24B40F4C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Teléfono y URL cuando se utilicen.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E04ABC" w:rsidRPr="009203B2" w14:paraId="78AA3448" w14:textId="77777777">
        <w:trPr>
          <w:jc w:val="center"/>
        </w:trPr>
        <w:tc>
          <w:tcPr>
            <w:tcW w:w="10454" w:type="dxa"/>
            <w:shd w:val="clear" w:color="auto" w:fill="E8F5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ABB90AE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b/>
                <w:color w:val="1E3A8A"/>
                <w:lang w:val="es-MX"/>
              </w:rPr>
              <w:t xml:space="preserve">Calidad de datos  </w:t>
            </w:r>
            <w:r w:rsidRPr="009203B2">
              <w:rPr>
                <w:lang w:val="es-MX"/>
              </w:rPr>
              <w:t>Los datos fiscales del cliente deben coincidir con la información vigente utilizada para CFDI 4.0.</w:t>
            </w:r>
          </w:p>
        </w:tc>
      </w:tr>
    </w:tbl>
    <w:p w14:paraId="34A49C87" w14:textId="77777777" w:rsidR="00E04ABC" w:rsidRPr="009203B2" w:rsidRDefault="00E04ABC">
      <w:pPr>
        <w:spacing w:after="0"/>
        <w:rPr>
          <w:rFonts w:hint="eastAsia"/>
          <w:lang w:val="es-MX"/>
        </w:rPr>
      </w:pPr>
    </w:p>
    <w:p w14:paraId="2A15AFF3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5031C230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BCD01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45D07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1FF393D1" w14:textId="77777777" w:rsidR="00E04ABC" w:rsidRDefault="00E04ABC">
      <w:pPr>
        <w:spacing w:after="0"/>
        <w:rPr>
          <w:rFonts w:hint="eastAsia"/>
        </w:rPr>
      </w:pPr>
    </w:p>
    <w:p w14:paraId="5E7A6D60" w14:textId="77777777" w:rsidR="00E04ABC" w:rsidRDefault="00000000">
      <w:pPr>
        <w:pStyle w:val="Ttulo1"/>
      </w:pPr>
      <w:r>
        <w:t>15. Centro contable y reportes</w:t>
      </w:r>
    </w:p>
    <w:p w14:paraId="19C2DB69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Información ejecutiva para Contabilidad sin duplicar la operación.</w:t>
      </w:r>
    </w:p>
    <w:p w14:paraId="63681552" w14:textId="7F0328DF" w:rsidR="00E04ABC" w:rsidRDefault="00961859">
      <w:pPr>
        <w:spacing w:after="140"/>
        <w:jc w:val="center"/>
        <w:rPr>
          <w:rFonts w:hint="eastAsia"/>
        </w:rPr>
      </w:pPr>
      <w:r w:rsidRPr="00961859">
        <w:drawing>
          <wp:inline distT="0" distB="0" distL="0" distR="0" wp14:anchorId="3743EDBF" wp14:editId="0CD39B0E">
            <wp:extent cx="6638290" cy="2891155"/>
            <wp:effectExtent l="152400" t="114300" r="105410" b="156845"/>
            <wp:docPr id="15236844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68448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8911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B06E440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t>El Centro contable reúne indicadores, estadística visual y listados descargables por periodo.</w:t>
      </w:r>
    </w:p>
    <w:p w14:paraId="426F2F96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 xml:space="preserve">Ventas del </w:t>
      </w:r>
      <w:proofErr w:type="spellStart"/>
      <w:r>
        <w:t>periodo</w:t>
      </w:r>
      <w:proofErr w:type="spellEnd"/>
      <w:r>
        <w:t>.</w:t>
      </w:r>
    </w:p>
    <w:p w14:paraId="3E815A25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>IVA trasladado.</w:t>
      </w:r>
    </w:p>
    <w:p w14:paraId="036C1051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>CxC pendiente.</w:t>
      </w:r>
    </w:p>
    <w:p w14:paraId="63BAA2DB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>CxP pendiente.</w:t>
      </w:r>
    </w:p>
    <w:p w14:paraId="0A068494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Número de CFDI emitidos y recibidos.</w:t>
      </w:r>
    </w:p>
    <w:p w14:paraId="3718CD26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Tendencia mensual de ventas y compras.</w:t>
      </w:r>
    </w:p>
    <w:p w14:paraId="4D830B29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Pestañas de Facturas emitidas, Cuentas por cobrar y Facturas recibidas.</w:t>
      </w:r>
    </w:p>
    <w:p w14:paraId="3750145D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3EF2AD82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9FFEA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B7C76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7EF72A9E" w14:textId="77777777" w:rsidR="00E04ABC" w:rsidRDefault="00E04ABC">
      <w:pPr>
        <w:spacing w:after="0"/>
        <w:rPr>
          <w:rFonts w:hint="eastAsia"/>
        </w:rPr>
      </w:pPr>
    </w:p>
    <w:p w14:paraId="6B2AD9CB" w14:textId="77777777" w:rsidR="00E04ABC" w:rsidRDefault="00000000">
      <w:pPr>
        <w:pStyle w:val="Ttulo1"/>
      </w:pPr>
      <w:r>
        <w:t>15.1 Exportación de reportes</w:t>
      </w:r>
    </w:p>
    <w:p w14:paraId="65F23E40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Descarga la información correspondiente a la pestaña seleccionada.</w:t>
      </w:r>
    </w:p>
    <w:p w14:paraId="194B00AF" w14:textId="3BFB4727" w:rsidR="00E04ABC" w:rsidRDefault="00961859">
      <w:pPr>
        <w:spacing w:after="140"/>
        <w:jc w:val="center"/>
        <w:rPr>
          <w:rFonts w:hint="eastAsia"/>
        </w:rPr>
      </w:pPr>
      <w:r w:rsidRPr="00961859">
        <w:drawing>
          <wp:inline distT="0" distB="0" distL="0" distR="0" wp14:anchorId="31E57AFC" wp14:editId="54C26944">
            <wp:extent cx="4625340" cy="2387001"/>
            <wp:effectExtent l="133350" t="114300" r="137160" b="165735"/>
            <wp:docPr id="19623286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32867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31301" cy="23900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:rsidRPr="009203B2" w14:paraId="47CB2114" w14:textId="77777777" w:rsidTr="00961859">
        <w:tc>
          <w:tcPr>
            <w:tcW w:w="675" w:type="dxa"/>
            <w:shd w:val="clear" w:color="auto" w:fill="00B4FF"/>
            <w:vAlign w:val="center"/>
          </w:tcPr>
          <w:p w14:paraId="6D65EE79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97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7A7AEF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Selecciona el periodo Desde/Hasta.</w:t>
            </w:r>
          </w:p>
        </w:tc>
      </w:tr>
    </w:tbl>
    <w:p w14:paraId="56C0D8A7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14:paraId="5B9A2905" w14:textId="77777777" w:rsidTr="00961859">
        <w:tc>
          <w:tcPr>
            <w:tcW w:w="675" w:type="dxa"/>
            <w:shd w:val="clear" w:color="auto" w:fill="00B4FF"/>
            <w:vAlign w:val="center"/>
          </w:tcPr>
          <w:p w14:paraId="3F445715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97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CDA75B" w14:textId="77777777" w:rsidR="00E04ABC" w:rsidRDefault="00000000">
            <w:pPr>
              <w:rPr>
                <w:rFonts w:hint="eastAsia"/>
              </w:rPr>
            </w:pPr>
            <w:r>
              <w:t>Presiona Actualizar informe.</w:t>
            </w:r>
          </w:p>
        </w:tc>
      </w:tr>
    </w:tbl>
    <w:p w14:paraId="44249249" w14:textId="77777777" w:rsidR="00E04ABC" w:rsidRDefault="00E04ABC">
      <w:pPr>
        <w:spacing w:after="0"/>
        <w:rPr>
          <w:rFonts w:hint="eastAsi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:rsidRPr="009203B2" w14:paraId="52690A01" w14:textId="77777777" w:rsidTr="00961859">
        <w:tc>
          <w:tcPr>
            <w:tcW w:w="675" w:type="dxa"/>
            <w:shd w:val="clear" w:color="auto" w:fill="00B4FF"/>
            <w:vAlign w:val="center"/>
          </w:tcPr>
          <w:p w14:paraId="4A0CE2D2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97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666622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Selecciona la pestaña que deseas reportar.</w:t>
            </w:r>
          </w:p>
        </w:tc>
      </w:tr>
    </w:tbl>
    <w:p w14:paraId="22B1B8AF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:rsidRPr="009203B2" w14:paraId="48A80372" w14:textId="77777777" w:rsidTr="00961859">
        <w:tc>
          <w:tcPr>
            <w:tcW w:w="675" w:type="dxa"/>
            <w:shd w:val="clear" w:color="auto" w:fill="00B4FF"/>
            <w:vAlign w:val="center"/>
          </w:tcPr>
          <w:p w14:paraId="1706CFC4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97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5D62E6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Presiona Exportar Excel, Exportar CSV o Exportar PDF.</w:t>
            </w:r>
          </w:p>
        </w:tc>
      </w:tr>
    </w:tbl>
    <w:p w14:paraId="709909D9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779"/>
      </w:tblGrid>
      <w:tr w:rsidR="00E04ABC" w:rsidRPr="009203B2" w14:paraId="67F4EC57" w14:textId="77777777" w:rsidTr="00961859">
        <w:tc>
          <w:tcPr>
            <w:tcW w:w="675" w:type="dxa"/>
            <w:shd w:val="clear" w:color="auto" w:fill="00B4FF"/>
            <w:vAlign w:val="center"/>
          </w:tcPr>
          <w:p w14:paraId="3A1BB714" w14:textId="77777777" w:rsidR="00E04ABC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5</w:t>
            </w:r>
          </w:p>
        </w:tc>
        <w:tc>
          <w:tcPr>
            <w:tcW w:w="977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4B4DCF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lang w:val="es-MX"/>
              </w:rPr>
              <w:t>Guarda el archivo en la ubicación requerida.</w:t>
            </w:r>
          </w:p>
        </w:tc>
      </w:tr>
    </w:tbl>
    <w:p w14:paraId="3A1BC642" w14:textId="77777777" w:rsidR="00E04ABC" w:rsidRPr="009203B2" w:rsidRDefault="00E04ABC">
      <w:pPr>
        <w:spacing w:after="0"/>
        <w:rPr>
          <w:rFonts w:hint="eastAsia"/>
          <w:lang w:val="es-MX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E04ABC" w:rsidRPr="009203B2" w14:paraId="2CC42ABF" w14:textId="77777777">
        <w:trPr>
          <w:jc w:val="center"/>
        </w:trPr>
        <w:tc>
          <w:tcPr>
            <w:tcW w:w="10454" w:type="dxa"/>
            <w:shd w:val="clear" w:color="auto" w:fill="E8F5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691A718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b/>
                <w:color w:val="1E3A8A"/>
                <w:lang w:val="es-MX"/>
              </w:rPr>
              <w:t xml:space="preserve">Importante  </w:t>
            </w:r>
            <w:r w:rsidRPr="009203B2">
              <w:rPr>
                <w:lang w:val="es-MX"/>
              </w:rPr>
              <w:t>La exportación corresponde a la pestaña activa. Verifica la pestaña seleccionada antes de generar el archivo.</w:t>
            </w:r>
          </w:p>
        </w:tc>
      </w:tr>
    </w:tbl>
    <w:p w14:paraId="7CA8B1DB" w14:textId="77777777" w:rsidR="00E04ABC" w:rsidRPr="009203B2" w:rsidRDefault="00E04ABC">
      <w:pPr>
        <w:spacing w:after="0"/>
        <w:rPr>
          <w:rFonts w:hint="eastAsia"/>
          <w:lang w:val="es-MX"/>
        </w:rPr>
      </w:pPr>
    </w:p>
    <w:p w14:paraId="6EBC21E8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6F699FAF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DAB28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BEA56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421FF07D" w14:textId="77777777" w:rsidR="00E04ABC" w:rsidRDefault="00E04ABC">
      <w:pPr>
        <w:spacing w:after="0"/>
        <w:rPr>
          <w:rFonts w:hint="eastAsia"/>
        </w:rPr>
      </w:pPr>
    </w:p>
    <w:p w14:paraId="5E59C53F" w14:textId="77777777" w:rsidR="00E04ABC" w:rsidRDefault="00000000">
      <w:pPr>
        <w:pStyle w:val="Ttulo1"/>
      </w:pPr>
      <w:r>
        <w:t>16. Editor de documentos</w:t>
      </w:r>
    </w:p>
    <w:p w14:paraId="34F0F9EC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 xml:space="preserve">Procesador de texto empresarial independiente basado en </w:t>
      </w:r>
      <w:proofErr w:type="spellStart"/>
      <w:r w:rsidRPr="009203B2">
        <w:rPr>
          <w:color w:val="64748B"/>
          <w:lang w:val="es-MX"/>
        </w:rPr>
        <w:t>DevExpress</w:t>
      </w:r>
      <w:proofErr w:type="spellEnd"/>
      <w:r w:rsidRPr="009203B2">
        <w:rPr>
          <w:color w:val="64748B"/>
          <w:lang w:val="es-MX"/>
        </w:rPr>
        <w:t xml:space="preserve"> </w:t>
      </w:r>
      <w:proofErr w:type="spellStart"/>
      <w:r w:rsidRPr="009203B2">
        <w:rPr>
          <w:color w:val="64748B"/>
          <w:lang w:val="es-MX"/>
        </w:rPr>
        <w:t>RichEdit</w:t>
      </w:r>
      <w:proofErr w:type="spellEnd"/>
      <w:r w:rsidRPr="009203B2">
        <w:rPr>
          <w:color w:val="64748B"/>
          <w:lang w:val="es-MX"/>
        </w:rPr>
        <w:t>.</w:t>
      </w:r>
    </w:p>
    <w:p w14:paraId="1BB0AC20" w14:textId="609F16C1" w:rsidR="00E04ABC" w:rsidRDefault="00961859">
      <w:pPr>
        <w:spacing w:after="140"/>
        <w:jc w:val="center"/>
        <w:rPr>
          <w:rFonts w:hint="eastAsia"/>
        </w:rPr>
      </w:pPr>
      <w:r w:rsidRPr="00961859">
        <w:drawing>
          <wp:inline distT="0" distB="0" distL="0" distR="0" wp14:anchorId="5238E0A6" wp14:editId="6D3F3D3B">
            <wp:extent cx="5669280" cy="2599821"/>
            <wp:effectExtent l="133350" t="114300" r="121920" b="162560"/>
            <wp:docPr id="16834385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43852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71343" cy="26007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3C815D9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t>El editor se abre en una ventana independiente y ofrece una experiencia de edición similar a un procesador de texto de escritorio.</w:t>
      </w:r>
    </w:p>
    <w:p w14:paraId="0DFB17F4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Nuevo, abrir, guardar y guardar como.</w:t>
      </w:r>
    </w:p>
    <w:p w14:paraId="74D29140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Formato de fuente, párrafo, listas y estilos.</w:t>
      </w:r>
    </w:p>
    <w:p w14:paraId="4D1B4B7F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Imágenes, tablas, encabezados y pies de página.</w:t>
      </w:r>
    </w:p>
    <w:p w14:paraId="2B2C1BBB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Configuración y distribución de página.</w:t>
      </w:r>
    </w:p>
    <w:p w14:paraId="5630B18B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proofErr w:type="spellStart"/>
      <w:r>
        <w:t>Búsqueda</w:t>
      </w:r>
      <w:proofErr w:type="spellEnd"/>
      <w:r>
        <w:t xml:space="preserve">, </w:t>
      </w:r>
      <w:proofErr w:type="spellStart"/>
      <w:r>
        <w:t>reemplazo</w:t>
      </w:r>
      <w:proofErr w:type="spellEnd"/>
      <w:r>
        <w:t xml:space="preserve"> y </w:t>
      </w:r>
      <w:proofErr w:type="spellStart"/>
      <w:r>
        <w:t>revisión</w:t>
      </w:r>
      <w:proofErr w:type="spellEnd"/>
      <w:r>
        <w:t>.</w:t>
      </w:r>
    </w:p>
    <w:p w14:paraId="25180ED2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>Vista previa e impresión.</w:t>
      </w:r>
    </w:p>
    <w:p w14:paraId="26FD424B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Trabajo con formatos compatibles como DOCX, RTF y TXT según la operación disponible.</w:t>
      </w:r>
    </w:p>
    <w:p w14:paraId="5CE4ECF8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0372BF4D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3C900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2D5D8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64219BF3" w14:textId="77777777" w:rsidR="00E04ABC" w:rsidRDefault="00E04ABC">
      <w:pPr>
        <w:spacing w:after="0"/>
        <w:rPr>
          <w:rFonts w:hint="eastAsia"/>
        </w:rPr>
      </w:pPr>
    </w:p>
    <w:p w14:paraId="7868B535" w14:textId="77777777" w:rsidR="00E04ABC" w:rsidRDefault="00000000">
      <w:pPr>
        <w:pStyle w:val="Ttulo1"/>
      </w:pPr>
      <w:r>
        <w:t>16.1 Ribbon y herramientas</w:t>
      </w:r>
    </w:p>
    <w:p w14:paraId="63FC9CBA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Utiliza las pestañas del editor para acceder a funciones avanzadas.</w:t>
      </w:r>
    </w:p>
    <w:p w14:paraId="6D1569C1" w14:textId="632D9D1F" w:rsidR="00E04ABC" w:rsidRDefault="00961859">
      <w:pPr>
        <w:spacing w:after="140"/>
        <w:jc w:val="center"/>
        <w:rPr>
          <w:rFonts w:hint="eastAsia"/>
        </w:rPr>
      </w:pPr>
      <w:r w:rsidRPr="00961859">
        <w:drawing>
          <wp:inline distT="0" distB="0" distL="0" distR="0" wp14:anchorId="67F19F40" wp14:editId="2C3ED0DF">
            <wp:extent cx="6638290" cy="869950"/>
            <wp:effectExtent l="152400" t="114300" r="124460" b="158750"/>
            <wp:docPr id="10902579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25797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869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986F750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Fichero: operaciones del documento e impresión.</w:t>
      </w:r>
    </w:p>
    <w:p w14:paraId="79CAAEF8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Inicio: portapapeles, fuente, párrafo y estilos.</w:t>
      </w:r>
    </w:p>
    <w:p w14:paraId="6FA76A69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Insertar: elementos dentro del documento.</w:t>
      </w:r>
    </w:p>
    <w:p w14:paraId="04AA23FA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Distribución de página: tamaño, orientación y márgenes.</w:t>
      </w:r>
    </w:p>
    <w:p w14:paraId="0E32DB9B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 xml:space="preserve">Referencias y Envíos postales: funciones documentales disponibles en </w:t>
      </w:r>
      <w:proofErr w:type="spellStart"/>
      <w:r w:rsidRPr="009203B2">
        <w:rPr>
          <w:lang w:val="es-MX"/>
        </w:rPr>
        <w:t>RichEdit</w:t>
      </w:r>
      <w:proofErr w:type="spellEnd"/>
      <w:r w:rsidRPr="009203B2">
        <w:rPr>
          <w:lang w:val="es-MX"/>
        </w:rPr>
        <w:t>.</w:t>
      </w:r>
    </w:p>
    <w:p w14:paraId="501F7C1C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Revisar: búsqueda, corrección y revisión.</w:t>
      </w:r>
    </w:p>
    <w:p w14:paraId="62E91DDA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 xml:space="preserve">Vista: </w:t>
      </w:r>
      <w:proofErr w:type="spellStart"/>
      <w:r>
        <w:t>presentación</w:t>
      </w:r>
      <w:proofErr w:type="spellEnd"/>
      <w:r>
        <w:t xml:space="preserve"> y zoom.</w:t>
      </w:r>
    </w:p>
    <w:p w14:paraId="242B32AD" w14:textId="77777777" w:rsidR="00E04ABC" w:rsidRDefault="00000000">
      <w:pPr>
        <w:rPr>
          <w:rFonts w:hint="eastAsia"/>
        </w:rPr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782BBCED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3E1B4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67B79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40FBC67C" w14:textId="77777777" w:rsidR="00E04ABC" w:rsidRDefault="00E04ABC">
      <w:pPr>
        <w:spacing w:after="0"/>
        <w:rPr>
          <w:rFonts w:hint="eastAsia"/>
        </w:rPr>
      </w:pPr>
    </w:p>
    <w:p w14:paraId="15FA5C97" w14:textId="77777777" w:rsidR="00E04ABC" w:rsidRDefault="00000000">
      <w:pPr>
        <w:pStyle w:val="Ttulo1"/>
      </w:pPr>
      <w:r>
        <w:t>17. Configuración</w:t>
      </w:r>
    </w:p>
    <w:p w14:paraId="40BEC2A7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Parámetros del RFC, certificados, correo, identidad y opciones operativas.</w:t>
      </w:r>
    </w:p>
    <w:p w14:paraId="713E6A8A" w14:textId="769CC0CF" w:rsidR="00E04ABC" w:rsidRDefault="00961859">
      <w:pPr>
        <w:spacing w:after="140"/>
        <w:jc w:val="center"/>
        <w:rPr>
          <w:rFonts w:hint="eastAsia"/>
        </w:rPr>
      </w:pPr>
      <w:r w:rsidRPr="00961859">
        <w:drawing>
          <wp:inline distT="0" distB="0" distL="0" distR="0" wp14:anchorId="769DC254" wp14:editId="7CD28483">
            <wp:extent cx="4546699" cy="3677285"/>
            <wp:effectExtent l="133350" t="114300" r="120650" b="170815"/>
            <wp:docPr id="2476842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84209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51652" cy="36812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28A233A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t>La configuración debe ser administrada por personal autorizado. Algunos cambios afectan directamente la emisión de CFDI o la comunicación con servicios externos.</w:t>
      </w:r>
    </w:p>
    <w:p w14:paraId="08761B8D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 xml:space="preserve">RFC titular y </w:t>
      </w:r>
      <w:proofErr w:type="spellStart"/>
      <w:r w:rsidRPr="009203B2">
        <w:rPr>
          <w:lang w:val="es-MX"/>
        </w:rPr>
        <w:t>RFCs</w:t>
      </w:r>
      <w:proofErr w:type="spellEnd"/>
      <w:r w:rsidRPr="009203B2">
        <w:rPr>
          <w:lang w:val="es-MX"/>
        </w:rPr>
        <w:t xml:space="preserve"> adicionales.</w:t>
      </w:r>
    </w:p>
    <w:p w14:paraId="360B9B89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Certificados y credenciales fiscales cuando correspondan.</w:t>
      </w:r>
    </w:p>
    <w:p w14:paraId="765AA0C9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 xml:space="preserve">Correo y </w:t>
      </w:r>
      <w:proofErr w:type="spellStart"/>
      <w:r>
        <w:t>logotipo</w:t>
      </w:r>
      <w:proofErr w:type="spellEnd"/>
      <w:r>
        <w:t>.</w:t>
      </w:r>
    </w:p>
    <w:p w14:paraId="0DD7419F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Base de datos y parámetros de operación.</w:t>
      </w:r>
    </w:p>
    <w:p w14:paraId="15FD3B51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 xml:space="preserve">Plantillas de </w:t>
      </w:r>
      <w:proofErr w:type="spellStart"/>
      <w:r>
        <w:t>documentos</w:t>
      </w:r>
      <w:proofErr w:type="spellEnd"/>
      <w:r>
        <w:t>.</w:t>
      </w:r>
    </w:p>
    <w:p w14:paraId="2ED96200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Conectores y opciones disponibles para la instalación.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E04ABC" w:rsidRPr="009203B2" w14:paraId="3A86173F" w14:textId="77777777">
        <w:trPr>
          <w:jc w:val="center"/>
        </w:trPr>
        <w:tc>
          <w:tcPr>
            <w:tcW w:w="10454" w:type="dxa"/>
            <w:shd w:val="clear" w:color="auto" w:fill="E8F5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4917017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b/>
                <w:color w:val="1E3A8A"/>
                <w:lang w:val="es-MX"/>
              </w:rPr>
              <w:t xml:space="preserve">Precaución  </w:t>
            </w:r>
            <w:r w:rsidRPr="009203B2">
              <w:rPr>
                <w:lang w:val="es-MX"/>
              </w:rPr>
              <w:t>No modifiques certificados, contraseñas o parámetros de conexión si no conoces su función.</w:t>
            </w:r>
          </w:p>
        </w:tc>
      </w:tr>
    </w:tbl>
    <w:p w14:paraId="45368D26" w14:textId="77777777" w:rsidR="00E04ABC" w:rsidRPr="009203B2" w:rsidRDefault="00E04ABC">
      <w:pPr>
        <w:spacing w:after="0"/>
        <w:rPr>
          <w:rFonts w:hint="eastAsia"/>
          <w:lang w:val="es-MX"/>
        </w:rPr>
      </w:pPr>
    </w:p>
    <w:p w14:paraId="58D1CCA9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24CB8085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551C8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F05B9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2E0E40F7" w14:textId="77777777" w:rsidR="00E04ABC" w:rsidRDefault="00E04ABC">
      <w:pPr>
        <w:spacing w:after="0"/>
        <w:rPr>
          <w:rFonts w:hint="eastAsia"/>
        </w:rPr>
      </w:pPr>
    </w:p>
    <w:p w14:paraId="73DF049E" w14:textId="77777777" w:rsidR="00E04ABC" w:rsidRDefault="00000000">
      <w:pPr>
        <w:pStyle w:val="Ttulo1"/>
      </w:pPr>
      <w:r>
        <w:t>18. Buenas prácticas</w:t>
      </w:r>
    </w:p>
    <w:p w14:paraId="4DC106C7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Recomendaciones para una operación segura y consistente.</w:t>
      </w:r>
    </w:p>
    <w:p w14:paraId="012DD0FF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Mantén actualizado el sistema y utiliza únicamente versiones proporcionadas por tu administrador.</w:t>
      </w:r>
    </w:p>
    <w:p w14:paraId="55B76BCD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Revisa el RFC activo antes de capturar.</w:t>
      </w:r>
    </w:p>
    <w:p w14:paraId="78AF74E8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Verifica datos fiscales antes de timbrar.</w:t>
      </w:r>
    </w:p>
    <w:p w14:paraId="7E24E0FD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 xml:space="preserve">No compartas credenciales ni archivos de </w:t>
      </w:r>
      <w:proofErr w:type="spellStart"/>
      <w:r w:rsidRPr="009203B2">
        <w:rPr>
          <w:lang w:val="es-MX"/>
        </w:rPr>
        <w:t>e.firma</w:t>
      </w:r>
      <w:proofErr w:type="spellEnd"/>
      <w:r w:rsidRPr="009203B2">
        <w:rPr>
          <w:lang w:val="es-MX"/>
        </w:rPr>
        <w:t>/CSD.</w:t>
      </w:r>
    </w:p>
    <w:p w14:paraId="67D83BB9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 xml:space="preserve">Revisa periódicamente </w:t>
      </w:r>
      <w:proofErr w:type="spellStart"/>
      <w:r w:rsidRPr="009203B2">
        <w:rPr>
          <w:lang w:val="es-MX"/>
        </w:rPr>
        <w:t>CxC</w:t>
      </w:r>
      <w:proofErr w:type="spellEnd"/>
      <w:r w:rsidRPr="009203B2">
        <w:rPr>
          <w:lang w:val="es-MX"/>
        </w:rPr>
        <w:t xml:space="preserve">, </w:t>
      </w:r>
      <w:proofErr w:type="spellStart"/>
      <w:r w:rsidRPr="009203B2">
        <w:rPr>
          <w:lang w:val="es-MX"/>
        </w:rPr>
        <w:t>CxP</w:t>
      </w:r>
      <w:proofErr w:type="spellEnd"/>
      <w:r w:rsidRPr="009203B2">
        <w:rPr>
          <w:lang w:val="es-MX"/>
        </w:rPr>
        <w:t>, vencimientos y estados SAT.</w:t>
      </w:r>
    </w:p>
    <w:p w14:paraId="6D78251C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Utiliza los reportes para conciliación y seguimiento.</w:t>
      </w:r>
    </w:p>
    <w:p w14:paraId="35349B82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Realiza respaldos conforme a la política de tu empresa.</w:t>
      </w:r>
    </w:p>
    <w:p w14:paraId="3E3E9947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Cierra sesión o el sistema al terminar en equipos compartidos.</w:t>
      </w:r>
    </w:p>
    <w:p w14:paraId="028B047A" w14:textId="3332A0E2" w:rsidR="00E04ABC" w:rsidRDefault="00E04ABC">
      <w:pPr>
        <w:spacing w:after="140"/>
        <w:jc w:val="center"/>
        <w:rPr>
          <w:rFonts w:hint="eastAsia"/>
        </w:rPr>
      </w:pPr>
    </w:p>
    <w:p w14:paraId="2A375AF8" w14:textId="77777777" w:rsidR="00E04ABC" w:rsidRDefault="00000000">
      <w:pPr>
        <w:rPr>
          <w:rFonts w:hint="eastAsia"/>
        </w:rPr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E04ABC" w14:paraId="1C512A84" w14:textId="77777777">
        <w:trPr>
          <w:jc w:val="center"/>
        </w:trPr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99ABD" w14:textId="77777777" w:rsidR="00E04ABC" w:rsidRDefault="00000000">
            <w:pPr>
              <w:rPr>
                <w:rFonts w:hint="eastAsia"/>
              </w:rPr>
            </w:pPr>
            <w:r>
              <w:rPr>
                <w:b/>
                <w:color w:val="1E3A8A"/>
              </w:rPr>
              <w:lastRenderedPageBreak/>
              <w:t>TAFI  |  Manual de Usuario</w:t>
            </w:r>
          </w:p>
        </w:tc>
        <w:tc>
          <w:tcPr>
            <w:tcW w:w="5227" w:type="dxa"/>
            <w:tcBorders>
              <w:bottom w:val="single" w:sz="8" w:space="0" w:color="00B4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20973" w14:textId="77777777" w:rsidR="00E04ABC" w:rsidRDefault="00000000">
            <w:pPr>
              <w:jc w:val="right"/>
              <w:rPr>
                <w:rFonts w:hint="eastAsia"/>
              </w:rPr>
            </w:pPr>
            <w:r>
              <w:rPr>
                <w:color w:val="64748B"/>
                <w:sz w:val="14"/>
              </w:rPr>
              <w:t>Tecnología  •  Precisión  •  Confianza  •  Futuro</w:t>
            </w:r>
          </w:p>
        </w:tc>
      </w:tr>
    </w:tbl>
    <w:p w14:paraId="70D8C418" w14:textId="77777777" w:rsidR="00E04ABC" w:rsidRDefault="00E04ABC">
      <w:pPr>
        <w:spacing w:after="0"/>
        <w:rPr>
          <w:rFonts w:hint="eastAsia"/>
        </w:rPr>
      </w:pPr>
    </w:p>
    <w:p w14:paraId="46E7CB1F" w14:textId="77777777" w:rsidR="00E04ABC" w:rsidRDefault="00000000">
      <w:pPr>
        <w:pStyle w:val="Ttulo1"/>
      </w:pPr>
      <w:r>
        <w:t>19. Soporte</w:t>
      </w:r>
    </w:p>
    <w:p w14:paraId="45684E96" w14:textId="77777777" w:rsidR="00E04ABC" w:rsidRPr="009203B2" w:rsidRDefault="00000000">
      <w:pPr>
        <w:spacing w:after="200"/>
        <w:rPr>
          <w:rFonts w:hint="eastAsia"/>
          <w:lang w:val="es-MX"/>
        </w:rPr>
      </w:pPr>
      <w:r w:rsidRPr="009203B2">
        <w:rPr>
          <w:color w:val="64748B"/>
          <w:lang w:val="es-MX"/>
        </w:rPr>
        <w:t>Información útil antes de solicitar asistencia.</w:t>
      </w:r>
    </w:p>
    <w:p w14:paraId="4D9BA0AA" w14:textId="77777777" w:rsidR="00E04ABC" w:rsidRPr="009203B2" w:rsidRDefault="00000000">
      <w:pPr>
        <w:rPr>
          <w:rFonts w:hint="eastAsia"/>
          <w:lang w:val="es-MX"/>
        </w:rPr>
      </w:pPr>
      <w:r w:rsidRPr="009203B2">
        <w:rPr>
          <w:lang w:val="es-MX"/>
        </w:rPr>
        <w:t>Cuando reportes una incidencia, proporciona información suficiente para reproducirla sin enviar contraseñas ni secretos.</w:t>
      </w:r>
    </w:p>
    <w:p w14:paraId="666F813B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Módulo y pantalla donde ocurrió.</w:t>
      </w:r>
    </w:p>
    <w:p w14:paraId="5EBDAEB7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proofErr w:type="spellStart"/>
      <w:r>
        <w:t>Acción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estabas</w:t>
      </w:r>
      <w:proofErr w:type="spellEnd"/>
      <w:r>
        <w:t xml:space="preserve"> </w:t>
      </w:r>
      <w:proofErr w:type="spellStart"/>
      <w:r>
        <w:t>realizando</w:t>
      </w:r>
      <w:proofErr w:type="spellEnd"/>
      <w:r>
        <w:t>.</w:t>
      </w:r>
    </w:p>
    <w:p w14:paraId="2DE48D1B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>Mensaje de error completo.</w:t>
      </w:r>
    </w:p>
    <w:p w14:paraId="34060A7E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r>
        <w:t>Fecha y hora aproximadas.</w:t>
      </w:r>
    </w:p>
    <w:p w14:paraId="66CD5AC3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RFC afectado, cuando sea necesario y permitido.</w:t>
      </w:r>
    </w:p>
    <w:p w14:paraId="6F1FE69E" w14:textId="77777777" w:rsidR="00E04ABC" w:rsidRPr="009203B2" w:rsidRDefault="00000000">
      <w:pPr>
        <w:pStyle w:val="Listaconvietas"/>
        <w:spacing w:after="60"/>
        <w:ind w:left="259"/>
        <w:rPr>
          <w:rFonts w:hint="eastAsia"/>
          <w:lang w:val="es-MX"/>
        </w:rPr>
      </w:pPr>
      <w:r w:rsidRPr="009203B2">
        <w:rPr>
          <w:lang w:val="es-MX"/>
        </w:rPr>
        <w:t>Captura de pantalla sin información sensible.</w:t>
      </w:r>
    </w:p>
    <w:p w14:paraId="35DF3E4D" w14:textId="77777777" w:rsidR="00E04ABC" w:rsidRDefault="00000000">
      <w:pPr>
        <w:pStyle w:val="Listaconvietas"/>
        <w:spacing w:after="60"/>
        <w:ind w:left="259"/>
        <w:rPr>
          <w:rFonts w:hint="eastAsia"/>
        </w:rPr>
      </w:pPr>
      <w:proofErr w:type="spellStart"/>
      <w:r>
        <w:t>Versión</w:t>
      </w:r>
      <w:proofErr w:type="spellEnd"/>
      <w:r>
        <w:t xml:space="preserve"> de TAFI 5 instalada.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54"/>
      </w:tblGrid>
      <w:tr w:rsidR="00E04ABC" w:rsidRPr="009203B2" w14:paraId="6CEACEB8" w14:textId="77777777">
        <w:trPr>
          <w:jc w:val="center"/>
        </w:trPr>
        <w:tc>
          <w:tcPr>
            <w:tcW w:w="10454" w:type="dxa"/>
            <w:shd w:val="clear" w:color="auto" w:fill="E8F5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065D009" w14:textId="77777777" w:rsidR="00E04ABC" w:rsidRPr="009203B2" w:rsidRDefault="00000000">
            <w:pPr>
              <w:rPr>
                <w:rFonts w:hint="eastAsia"/>
                <w:lang w:val="es-MX"/>
              </w:rPr>
            </w:pPr>
            <w:r w:rsidRPr="009203B2">
              <w:rPr>
                <w:b/>
                <w:color w:val="1E3A8A"/>
                <w:lang w:val="es-MX"/>
              </w:rPr>
              <w:t xml:space="preserve">No enviar  </w:t>
            </w:r>
            <w:r w:rsidRPr="009203B2">
              <w:rPr>
                <w:lang w:val="es-MX"/>
              </w:rPr>
              <w:t>Contraseñas, claves privadas, secretos OAuth, archivos .</w:t>
            </w:r>
            <w:proofErr w:type="spellStart"/>
            <w:r w:rsidRPr="009203B2">
              <w:rPr>
                <w:lang w:val="es-MX"/>
              </w:rPr>
              <w:t>key</w:t>
            </w:r>
            <w:proofErr w:type="spellEnd"/>
            <w:r w:rsidRPr="009203B2">
              <w:rPr>
                <w:lang w:val="es-MX"/>
              </w:rPr>
              <w:t xml:space="preserve"> o cualquier credencial confidencial.</w:t>
            </w:r>
          </w:p>
        </w:tc>
      </w:tr>
    </w:tbl>
    <w:p w14:paraId="070966CD" w14:textId="77777777" w:rsidR="00E04ABC" w:rsidRPr="009203B2" w:rsidRDefault="00E04ABC">
      <w:pPr>
        <w:spacing w:after="0"/>
        <w:rPr>
          <w:rFonts w:hint="eastAsia"/>
          <w:lang w:val="es-MX"/>
        </w:rPr>
      </w:pPr>
    </w:p>
    <w:p w14:paraId="0EB986FD" w14:textId="77777777" w:rsidR="00E04ABC" w:rsidRPr="009203B2" w:rsidRDefault="00E04ABC">
      <w:pPr>
        <w:rPr>
          <w:rFonts w:hint="eastAsia"/>
          <w:lang w:val="es-MX"/>
        </w:rPr>
      </w:pPr>
    </w:p>
    <w:p w14:paraId="7E7C5A71" w14:textId="77777777" w:rsidR="00E04ABC" w:rsidRDefault="00000000">
      <w:pPr>
        <w:pStyle w:val="Ttulo1"/>
        <w:jc w:val="center"/>
      </w:pPr>
      <w:r>
        <w:t>TAFI 5</w:t>
      </w:r>
    </w:p>
    <w:p w14:paraId="03A6ACA5" w14:textId="77777777" w:rsidR="00E04ABC" w:rsidRDefault="00000000">
      <w:pPr>
        <w:jc w:val="center"/>
        <w:rPr>
          <w:rFonts w:hint="eastAsia"/>
        </w:rPr>
      </w:pPr>
      <w:r>
        <w:rPr>
          <w:color w:val="1E3A8A"/>
        </w:rPr>
        <w:t>Tecnología • Precisión • Confianza • Futuro</w:t>
      </w:r>
    </w:p>
    <w:sectPr w:rsidR="00E04ABC" w:rsidSect="00034616">
      <w:footerReference w:type="default" r:id="rId30"/>
      <w:pgSz w:w="12240" w:h="15840"/>
      <w:pgMar w:top="835" w:right="893" w:bottom="792" w:left="8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9D25E" w14:textId="77777777" w:rsidR="00BB163C" w:rsidRDefault="00BB163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552D106" w14:textId="77777777" w:rsidR="00BB163C" w:rsidRDefault="00BB163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7D077" w14:textId="77777777" w:rsidR="00E04ABC" w:rsidRPr="009203B2" w:rsidRDefault="00000000">
    <w:pPr>
      <w:pStyle w:val="Piedepgina"/>
      <w:jc w:val="center"/>
      <w:rPr>
        <w:rFonts w:hint="eastAsia"/>
        <w:lang w:val="es-MX"/>
      </w:rPr>
    </w:pPr>
    <w:r w:rsidRPr="009203B2">
      <w:rPr>
        <w:color w:val="64748B"/>
        <w:sz w:val="14"/>
        <w:lang w:val="es-MX"/>
      </w:rPr>
      <w:t>Manual de Usuario — TAFI 5     •     Software SE &amp; .NET Designs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19643" w14:textId="77777777" w:rsidR="00BB163C" w:rsidRDefault="00BB163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E937BD6" w14:textId="77777777" w:rsidR="00BB163C" w:rsidRDefault="00BB163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1559486">
    <w:abstractNumId w:val="8"/>
  </w:num>
  <w:num w:numId="2" w16cid:durableId="1208495522">
    <w:abstractNumId w:val="6"/>
  </w:num>
  <w:num w:numId="3" w16cid:durableId="1675961579">
    <w:abstractNumId w:val="5"/>
  </w:num>
  <w:num w:numId="4" w16cid:durableId="729377052">
    <w:abstractNumId w:val="4"/>
  </w:num>
  <w:num w:numId="5" w16cid:durableId="325206714">
    <w:abstractNumId w:val="7"/>
  </w:num>
  <w:num w:numId="6" w16cid:durableId="18775618">
    <w:abstractNumId w:val="3"/>
  </w:num>
  <w:num w:numId="7" w16cid:durableId="1210603677">
    <w:abstractNumId w:val="2"/>
  </w:num>
  <w:num w:numId="8" w16cid:durableId="388580742">
    <w:abstractNumId w:val="1"/>
  </w:num>
  <w:num w:numId="9" w16cid:durableId="1729304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59BC"/>
    <w:rsid w:val="00254413"/>
    <w:rsid w:val="0029639D"/>
    <w:rsid w:val="00326F90"/>
    <w:rsid w:val="003A5F61"/>
    <w:rsid w:val="0067525C"/>
    <w:rsid w:val="009203B2"/>
    <w:rsid w:val="00961326"/>
    <w:rsid w:val="00961859"/>
    <w:rsid w:val="00A6547C"/>
    <w:rsid w:val="00A87FE8"/>
    <w:rsid w:val="00AA1D8D"/>
    <w:rsid w:val="00B47730"/>
    <w:rsid w:val="00B537EF"/>
    <w:rsid w:val="00B8346E"/>
    <w:rsid w:val="00BB163C"/>
    <w:rsid w:val="00C1437B"/>
    <w:rsid w:val="00CB0664"/>
    <w:rsid w:val="00E04ABC"/>
    <w:rsid w:val="00E06B5B"/>
    <w:rsid w:val="00F432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8601D9"/>
  <w14:defaultImageDpi w14:val="300"/>
  <w15:docId w15:val="{DF26058B-E6CC-40AD-A150-69CF0FC9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</w:pPr>
    <w:rPr>
      <w:rFonts w:ascii="Montserrat" w:hAnsi="Montserrat"/>
      <w:color w:val="0D1B2A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100" w:after="140"/>
      <w:outlineLvl w:val="0"/>
    </w:pPr>
    <w:rPr>
      <w:rFonts w:asciiTheme="majorHAnsi" w:eastAsiaTheme="majorEastAsia" w:hAnsiTheme="majorHAnsi" w:cstheme="majorBidi"/>
      <w:b/>
      <w:bCs/>
      <w:sz w:val="4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100" w:after="140"/>
      <w:outlineLvl w:val="1"/>
    </w:pPr>
    <w:rPr>
      <w:rFonts w:asciiTheme="majorHAnsi" w:eastAsiaTheme="majorEastAsia" w:hAnsiTheme="majorHAnsi" w:cstheme="majorBidi"/>
      <w:b/>
      <w:bCs/>
      <w:color w:val="1E3A8A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100" w:after="140"/>
      <w:outlineLvl w:val="2"/>
    </w:pPr>
    <w:rPr>
      <w:rFonts w:asciiTheme="majorHAnsi" w:eastAsiaTheme="majorEastAsia" w:hAnsiTheme="majorHAnsi" w:cstheme="majorBidi"/>
      <w:b/>
      <w:bCs/>
      <w:color w:val="00B4FF"/>
      <w:sz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before="100" w:after="14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26</Pages>
  <Words>2222</Words>
  <Characters>12227</Characters>
  <Application>Microsoft Office Word</Application>
  <DocSecurity>0</DocSecurity>
  <Lines>101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14421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Raul alejandro Stallworth perez</cp:lastModifiedBy>
  <cp:revision>11</cp:revision>
  <dcterms:created xsi:type="dcterms:W3CDTF">2013-12-23T23:15:00Z</dcterms:created>
  <dcterms:modified xsi:type="dcterms:W3CDTF">2026-09-09T02:26:00Z</dcterms:modified>
  <cp:category/>
</cp:coreProperties>
</file>